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5EA"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t xml:space="preserve">Jurnal Ilmiah Keperawatan dan </w:t>
      </w:r>
    </w:p>
    <w:p w:rsidR="00CC487B" w:rsidRPr="00B27896" w:rsidRDefault="00CC3F80" w:rsidP="00B27896">
      <w:pPr>
        <w:rPr>
          <w:rFonts w:ascii="Times New Roman" w:hAnsi="Times New Roman" w:cs="Times New Roman"/>
          <w:sz w:val="24"/>
          <w:szCs w:val="24"/>
        </w:rPr>
      </w:pPr>
      <w:r w:rsidRPr="00B27896">
        <w:rPr>
          <w:rFonts w:ascii="Times New Roman" w:hAnsi="Times New Roman" w:cs="Times New Roman"/>
          <w:b/>
          <w:sz w:val="24"/>
          <w:szCs w:val="24"/>
        </w:rPr>
        <w:t>Kesehatan Alkautsar (JIKKA)</w:t>
      </w:r>
      <w:r w:rsidRPr="00B27896">
        <w:rPr>
          <w:rFonts w:ascii="Times New Roman" w:hAnsi="Times New Roman" w:cs="Times New Roman"/>
          <w:sz w:val="24"/>
          <w:szCs w:val="24"/>
        </w:rPr>
        <w:br/>
        <w:t>e-ISSN : 2963-9042</w:t>
      </w:r>
      <w:r w:rsidRPr="00B27896">
        <w:rPr>
          <w:rFonts w:ascii="Times New Roman" w:hAnsi="Times New Roman" w:cs="Times New Roman"/>
          <w:sz w:val="24"/>
          <w:szCs w:val="24"/>
        </w:rPr>
        <w:br/>
      </w:r>
      <w:hyperlink r:id="rId6" w:history="1">
        <w:r w:rsidR="00893D1F" w:rsidRPr="0040753B">
          <w:rPr>
            <w:rStyle w:val="Hyperlink"/>
            <w:rFonts w:ascii="Times New Roman" w:hAnsi="Times New Roman" w:cs="Times New Roman"/>
            <w:sz w:val="24"/>
            <w:szCs w:val="24"/>
          </w:rPr>
          <w:t>https://jurnal.akperalkautsar.ac.id/index.php/JIKKA</w:t>
        </w:r>
      </w:hyperlink>
      <w:r w:rsidR="00893D1F">
        <w:rPr>
          <w:rFonts w:ascii="Times New Roman" w:hAnsi="Times New Roman" w:cs="Times New Roman"/>
          <w:sz w:val="24"/>
          <w:szCs w:val="24"/>
        </w:rPr>
        <w:t xml:space="preserve"> </w:t>
      </w:r>
    </w:p>
    <w:p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PEMBERIAN SARI KURMA UNTUK MENGATASI INTOLERANSI AKTIVITAS PADA REMAJA PUTRI DENGAN ANEMIA</w:t>
      </w:r>
    </w:p>
    <w:p w:rsidR="00CC487B" w:rsidRPr="00B27896" w:rsidRDefault="00CC3F80" w:rsidP="00893D1F">
      <w:pPr>
        <w:jc w:val="center"/>
        <w:rPr>
          <w:rFonts w:ascii="Times New Roman" w:hAnsi="Times New Roman" w:cs="Times New Roman"/>
          <w:sz w:val="24"/>
          <w:szCs w:val="24"/>
        </w:rPr>
      </w:pPr>
      <w:r w:rsidRPr="00B27896">
        <w:rPr>
          <w:rFonts w:ascii="Times New Roman" w:hAnsi="Times New Roman" w:cs="Times New Roman"/>
          <w:sz w:val="24"/>
          <w:szCs w:val="24"/>
        </w:rPr>
        <w:t>Khansa Nur ‘Izzati</w:t>
      </w:r>
      <w:r w:rsidR="00893D1F">
        <w:rPr>
          <w:rFonts w:ascii="Times New Roman" w:hAnsi="Times New Roman" w:cs="Times New Roman"/>
          <w:sz w:val="24"/>
          <w:szCs w:val="24"/>
        </w:rPr>
        <w:t>,</w:t>
      </w:r>
      <w:r w:rsidR="00893D1F" w:rsidRPr="00893D1F">
        <w:t xml:space="preserve"> </w:t>
      </w:r>
      <w:r w:rsidR="00893D1F">
        <w:rPr>
          <w:rFonts w:ascii="Times New Roman" w:hAnsi="Times New Roman" w:cs="Times New Roman"/>
          <w:sz w:val="24"/>
          <w:szCs w:val="24"/>
        </w:rPr>
        <w:t>Retno Lusmiati Anisah, Ratna kurniawati,</w:t>
      </w:r>
      <w:r w:rsidR="00893D1F" w:rsidRPr="00893D1F">
        <w:t xml:space="preserve"> </w:t>
      </w:r>
      <w:r w:rsidR="00893D1F" w:rsidRPr="00893D1F">
        <w:rPr>
          <w:rFonts w:ascii="Times New Roman" w:hAnsi="Times New Roman" w:cs="Times New Roman"/>
          <w:sz w:val="24"/>
          <w:szCs w:val="24"/>
        </w:rPr>
        <w:t>Akademi Keperawatan Alkautsar Temanggung</w:t>
      </w:r>
    </w:p>
    <w:p w:rsidR="00CC487B" w:rsidRPr="00B27896" w:rsidRDefault="00893D1F" w:rsidP="00B27896">
      <w:pPr>
        <w:rPr>
          <w:rFonts w:ascii="Times New Roman" w:hAnsi="Times New Roman" w:cs="Times New Roman"/>
          <w:sz w:val="24"/>
          <w:szCs w:val="24"/>
        </w:rPr>
      </w:pPr>
      <w:r>
        <w:rPr>
          <w:rFonts w:ascii="Times New Roman" w:hAnsi="Times New Roman" w:cs="Times New Roman"/>
          <w:sz w:val="24"/>
          <w:szCs w:val="24"/>
        </w:rPr>
        <w:t>Email korespondensi</w:t>
      </w:r>
      <w:r w:rsidR="00CC3F80" w:rsidRPr="00B27896">
        <w:rPr>
          <w:rFonts w:ascii="Times New Roman" w:hAnsi="Times New Roman" w:cs="Times New Roman"/>
          <w:sz w:val="24"/>
          <w:szCs w:val="24"/>
        </w:rPr>
        <w:t xml:space="preserve">: </w:t>
      </w:r>
      <w:hyperlink r:id="rId7" w:history="1">
        <w:r w:rsidRPr="0040753B">
          <w:rPr>
            <w:rStyle w:val="Hyperlink"/>
            <w:rFonts w:ascii="Times New Roman" w:hAnsi="Times New Roman" w:cs="Times New Roman"/>
            <w:sz w:val="24"/>
            <w:szCs w:val="24"/>
          </w:rPr>
          <w:t>khansanurizzaty@gmail.com</w:t>
        </w:r>
      </w:hyperlink>
      <w:r>
        <w:rPr>
          <w:rFonts w:ascii="Times New Roman" w:hAnsi="Times New Roman" w:cs="Times New Roman"/>
          <w:sz w:val="24"/>
          <w:szCs w:val="24"/>
        </w:rPr>
        <w:t xml:space="preserve"> </w:t>
      </w:r>
    </w:p>
    <w:p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Anemia merupakan masalah kesehatan global yang sering terjadi pada remaja putri dan berdampak pada menurunnya kemampuan fisik dalam beraktivitas. Salah satu gejala yang sering muncul adalah intoleransi aktivitas akibat rendahnya kadar hemoglobin. Penelitian ini bertujuan untuk mengetahui efektivitas pemberian sari kurma dalam meningkatkan toleransi aktivitas pada remaja putri dengan anemia. Penelitian menggunakan desain studi kasus deskriptif kualitatif pada dua responden dengan kadar hemoglobin di bawah 12 g/dl dan menunjukkan gejala intoleransi aktivitas. Intervensi berupa pemberian sari kurma 2x15 ml per hari selama 14 hari. Hasil menunjukkan adanya peningkatan kadar hemoglobin dan perbaikan pada indikator toleransi aktivitas seperti kekuatan tubuh dan penurunan keluhan lelah serta dispnea. Dengan demikian, sari kurma dapat dijadikan terapi alternatif nonfarmakologis yang efektif dan mudah diterapkan dalam meningkatkan toleransi aktivitas pada remaja putri anemia.</w:t>
      </w:r>
    </w:p>
    <w:p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 xml:space="preserve">Kata </w:t>
      </w:r>
      <w:proofErr w:type="gramStart"/>
      <w:r w:rsidRPr="00B27896">
        <w:rPr>
          <w:rFonts w:ascii="Times New Roman" w:hAnsi="Times New Roman" w:cs="Times New Roman"/>
          <w:sz w:val="24"/>
          <w:szCs w:val="24"/>
        </w:rPr>
        <w:t>Kunci :</w:t>
      </w:r>
      <w:proofErr w:type="gramEnd"/>
      <w:r w:rsidRPr="00B27896">
        <w:rPr>
          <w:rFonts w:ascii="Times New Roman" w:hAnsi="Times New Roman" w:cs="Times New Roman"/>
          <w:sz w:val="24"/>
          <w:szCs w:val="24"/>
        </w:rPr>
        <w:t xml:space="preserve"> sari kurma, anemia, remaja putri, intoleransi aktivitas, hemoglobin</w:t>
      </w:r>
    </w:p>
    <w:p w:rsidR="00FA15EA" w:rsidRPr="00B27896" w:rsidRDefault="00FA15EA" w:rsidP="005418A8">
      <w:pPr>
        <w:jc w:val="both"/>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B27896" w:rsidRDefault="00FA15EA" w:rsidP="00B27896">
      <w:pPr>
        <w:rPr>
          <w:rFonts w:ascii="Times New Roman" w:hAnsi="Times New Roman" w:cs="Times New Roman"/>
          <w:sz w:val="24"/>
          <w:szCs w:val="24"/>
        </w:rPr>
      </w:pPr>
    </w:p>
    <w:p w:rsidR="00FA15EA" w:rsidRPr="00893D1F" w:rsidRDefault="00893D1F" w:rsidP="00B27896">
      <w:pPr>
        <w:jc w:val="center"/>
        <w:rPr>
          <w:rFonts w:ascii="Times New Roman" w:hAnsi="Times New Roman" w:cs="Times New Roman"/>
          <w:b/>
          <w:sz w:val="24"/>
          <w:szCs w:val="24"/>
        </w:rPr>
      </w:pPr>
      <w:r w:rsidRPr="00893D1F">
        <w:rPr>
          <w:rFonts w:ascii="Times New Roman" w:hAnsi="Times New Roman" w:cs="Times New Roman"/>
          <w:b/>
          <w:sz w:val="24"/>
          <w:szCs w:val="24"/>
        </w:rPr>
        <w:t>THE EFFECT OF DATE SYRUP ADMINISTRATION ON ACTIVITY INTOLERANCE IN ANEMIC ADOLESCENT GIRLS</w:t>
      </w:r>
    </w:p>
    <w:p w:rsidR="00FA15EA" w:rsidRPr="00B27896" w:rsidRDefault="00FA15EA"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ABSTRACT</w:t>
      </w:r>
    </w:p>
    <w:p w:rsidR="00FA15EA" w:rsidRPr="00B27896" w:rsidRDefault="00FA15EA" w:rsidP="00B27896">
      <w:pPr>
        <w:jc w:val="both"/>
        <w:rPr>
          <w:rFonts w:ascii="Times New Roman" w:hAnsi="Times New Roman" w:cs="Times New Roman"/>
          <w:sz w:val="24"/>
          <w:szCs w:val="24"/>
        </w:rPr>
      </w:pPr>
      <w:r w:rsidRPr="00B27896">
        <w:rPr>
          <w:rFonts w:ascii="Times New Roman" w:hAnsi="Times New Roman" w:cs="Times New Roman"/>
          <w:sz w:val="24"/>
          <w:szCs w:val="24"/>
        </w:rPr>
        <w:t>Anemia is a global health issue that commonly affects adolescent girls and leads to decreased physical capacity in performing daily activities. One frequent symptom is activity intolerance due to low hemoglobin levels. This study aimed to examine the effectiveness of date syrup in improving activity tolerance among adolescent girls with anemia. The research used a descriptive qualitative case study design involving two respondents with hemoglobin levels below 12 g/dL who exhibited symptoms of activity intolerance. The intervention involved administering 15 ml of date syrup twice daily for 14 days. Results showed an increase in hemoglobin levels and improvements in activity tolerance indicators such as physical strength and reduced complaints of fatigue and dyspnea. Thus, date syrup can serve as an effective and easily applicable non-pharmacological alternative to enhance activity tolerance in anemic adolescent girls.</w:t>
      </w:r>
    </w:p>
    <w:p w:rsidR="00B27896" w:rsidRPr="00B27896" w:rsidRDefault="00FA15EA" w:rsidP="00B27896">
      <w:pPr>
        <w:rPr>
          <w:rFonts w:ascii="Times New Roman" w:hAnsi="Times New Roman" w:cs="Times New Roman"/>
          <w:sz w:val="24"/>
          <w:szCs w:val="24"/>
        </w:rPr>
      </w:pPr>
      <w:r w:rsidRPr="00B27896">
        <w:rPr>
          <w:rFonts w:ascii="Times New Roman" w:hAnsi="Times New Roman" w:cs="Times New Roman"/>
          <w:sz w:val="24"/>
          <w:szCs w:val="24"/>
        </w:rPr>
        <w:t>Keywords: date syrup, anemia, adolescent girls, a</w:t>
      </w:r>
      <w:r w:rsidR="00B27896">
        <w:rPr>
          <w:rFonts w:ascii="Times New Roman" w:hAnsi="Times New Roman" w:cs="Times New Roman"/>
          <w:sz w:val="24"/>
          <w:szCs w:val="24"/>
        </w:rPr>
        <w:t>ctivity intolerance, hemoglobin</w:t>
      </w:r>
    </w:p>
    <w:p w:rsidR="00893D1F" w:rsidRDefault="00893D1F" w:rsidP="00B27896">
      <w:pPr>
        <w:rPr>
          <w:rFonts w:ascii="Times New Roman" w:hAnsi="Times New Roman" w:cs="Times New Roman"/>
          <w:b/>
          <w:sz w:val="24"/>
          <w:szCs w:val="24"/>
        </w:rPr>
        <w:sectPr w:rsidR="00893D1F" w:rsidSect="00034616">
          <w:pgSz w:w="12240" w:h="15840"/>
          <w:pgMar w:top="1440" w:right="1800" w:bottom="1440" w:left="1800" w:header="720" w:footer="720" w:gutter="0"/>
          <w:cols w:space="720"/>
          <w:docGrid w:linePitch="360"/>
        </w:sectPr>
      </w:pPr>
    </w:p>
    <w:p w:rsidR="00CC487B"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lastRenderedPageBreak/>
        <w:t>PENDAHULUAN</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Anemia adalah masalah kesehatan masyarakat global yang signifikan, terutama berdampak pada anak-anak usia dini, remaja perempuan yang sedang menstruasi, serta ibu hamil dan ibu yang baru </w:t>
      </w:r>
      <w:proofErr w:type="gramStart"/>
      <w:r w:rsidRPr="00B27896">
        <w:rPr>
          <w:rFonts w:ascii="Times New Roman" w:hAnsi="Times New Roman" w:cs="Times New Roman"/>
          <w:sz w:val="24"/>
          <w:szCs w:val="24"/>
        </w:rPr>
        <w:t>melahirkan.Pada</w:t>
      </w:r>
      <w:proofErr w:type="gramEnd"/>
      <w:r w:rsidRPr="00B27896">
        <w:rPr>
          <w:rFonts w:ascii="Times New Roman" w:hAnsi="Times New Roman" w:cs="Times New Roman"/>
          <w:sz w:val="24"/>
          <w:szCs w:val="24"/>
        </w:rPr>
        <w:t xml:space="preserve"> tahun 2024 World Health Orgniztion (WHO),  memperkirakan bahwa di seluruh dunia, 40% anak-anak berusia 6–59 bulan, 37% wanita hamil, dan 30% wanita berusia 15–49 tahun mengalami anemia. Menurut data Riskesdas tahun 2018, 26,8% anak usia 5-14 tahun dan 32% remaja usia 15-24 tahun mengalami anemia. Ini berarti bahwa 3 dari 10 remaja putri mungkin menderita anemia. Dari 12,1 juta remaja putri, sekitar 8,3 juta tidak rutin mengonsumsi TTD, sehingga meningkatkan risiko mereka terkena anemia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RI","given":"","non-dropping-particle":"","parse-names":false,"suffix":""}],"id":"ITEM-1","issued":{"date-parts":[["2022"]]},"title":"Remaja Bebas Anemia: Konsentrasi Belajar Meningkat, Bebas Prestasi","type":"article-journal"},"uris":["http://www.mendeley.com/documents/?uuid=4e6788cd-bd5d-44e3-86c1-4fa23d5e2bcd"]}],"mendeley":{"formattedCitation":"(Kemenkes RI, 2022)","manualFormatting":"Kemenkes RI, (2022)","plainTextFormattedCitation":"(Kemenkes RI, 2022)","previouslyFormattedCitation":"(Kemenkes RI, 2022)"},"properties":{"noteIndex":0},"schema":"https://github.com/citation-style-language/schema/raw/master/csl-citation.json"}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Kemenkes RI,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2022)</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Di wilayah </w:t>
      </w:r>
      <w:r w:rsidRPr="00B27896">
        <w:rPr>
          <w:rFonts w:ascii="Times New Roman" w:hAnsi="Times New Roman" w:cs="Times New Roman"/>
          <w:sz w:val="24"/>
          <w:szCs w:val="24"/>
        </w:rPr>
        <w:lastRenderedPageBreak/>
        <w:t xml:space="preserve">Puskesmas Temanggung, prevalensi anemia pada remaja putri masih menjadi masalah kesehatan masyarakat dengan angka mencapai 42,1%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(Pipit </w:t>
      </w:r>
      <w:r w:rsidR="00893D1F">
        <w:rPr>
          <w:rFonts w:ascii="Times New Roman" w:hAnsi="Times New Roman" w:cs="Times New Roman"/>
          <w:noProof/>
          <w:sz w:val="24"/>
          <w:szCs w:val="24"/>
        </w:rPr>
        <w:t>dkk</w:t>
      </w:r>
      <w:r w:rsidR="00893D1F" w:rsidRPr="00893D1F">
        <w:rPr>
          <w:rFonts w:ascii="Times New Roman" w:hAnsi="Times New Roman" w:cs="Times New Roman"/>
          <w:noProof/>
          <w:sz w:val="24"/>
          <w:szCs w:val="24"/>
        </w:rPr>
        <w:t>,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yang dikenal oleh masyarakat Indonesia sebagai kurang darah, merupakan masalah kesehatan yang ditandai dengan penurunan kadar hemoglobin di bawah batas normal dalam buku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{"citationItems":[{"id":"ITEM-1","itemData":{"ISBN":"9786238372317","abstract":"Persepsi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2011)","author":[{"dropping-particle":"","family":"Asiva Noor Rachmayani","given":"","non-dropping-particle":"","parse-names":false,"suffix":""}],"id":"ITEM-1","issued":{"date-parts":[["2023"]]},"number-of-pages":"6","title":"Mengenal Anemia","type":"book"},"uris":["http://www.mendeley.com/documents/?uuid=25c180f7-44d3-46a6-82b6-8c812b3425eb"]}],"mendeley":{"formattedCitation":"(Asiva Noor Rachmayani, 2023)","manualFormatting":"Asiva Noor Rachmayani, (2023)","plainTextFormattedCitation":"(Asiva Noor Rachmayani, 2023)","previouslyFormattedCitation":"(Asiva Noor Rachmayani,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Asiva Noor Rachmayani,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2023)</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r w:rsidR="00893D1F">
        <w:rPr>
          <w:rFonts w:ascii="Times New Roman" w:hAnsi="Times New Roman" w:cs="Times New Roman"/>
          <w:sz w:val="24"/>
          <w:szCs w:val="24"/>
        </w:rPr>
        <w:t xml:space="preserve"> </w:t>
      </w:r>
      <w:r w:rsidRPr="00B27896">
        <w:rPr>
          <w:rFonts w:ascii="Times New Roman" w:hAnsi="Times New Roman" w:cs="Times New Roman"/>
          <w:sz w:val="24"/>
          <w:szCs w:val="24"/>
        </w:rPr>
        <w:t xml:space="preserve">Hemoglobin merupakan komponen penting dalam sel darah merah (eritrosit) yang berperan dalam mengikat oksigen dan mendistribusikannya ke seluruh jaringan tubuh. Oksigen dibutuhkan oleh jaringan untuk menjalankan fungsinya secara optimal. Kekurangan oksigen di otak dan otot dapat menyebabkan gejala seperti penurunan konsentrasi dan kelelahan saat beraktivitas. Hemoglobin terbentuk dari kombinasi protein dan zat </w:t>
      </w:r>
      <w:r w:rsidRPr="00B27896">
        <w:rPr>
          <w:rFonts w:ascii="Times New Roman" w:hAnsi="Times New Roman" w:cs="Times New Roman"/>
          <w:sz w:val="24"/>
          <w:szCs w:val="24"/>
        </w:rPr>
        <w:lastRenderedPageBreak/>
        <w:t xml:space="preserve">besi, membentuk sel darah merah. Anemia sendiri adalah suatu kondisi yang perlu dicari penyebabnya, dan penanganannya harus disesuaikan dengan faktor penyebab tersebut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(Chasanah dkk</w:t>
      </w:r>
      <w:r w:rsidR="00893D1F" w:rsidRPr="00893D1F">
        <w:rPr>
          <w:rFonts w:ascii="Times New Roman" w:hAnsi="Times New Roman" w:cs="Times New Roman"/>
          <w:noProof/>
          <w:sz w:val="24"/>
          <w:szCs w:val="24"/>
        </w:rPr>
        <w:t>., 2019)</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Klasifikasi anemia berdasarkan penyebabnya terbagi menjadi tiga kelompok utama. Pertama, anemia akibat kehilangan sel darah merah, yang terjadi akibat perdarahan dari berbagai sumber seperti luka, perdarahan saluran pencernaan, perdarahan uterus, hidung, atau akibat proses lainnya. Kedua, anemia yang disebabkan oleh penurunan produksi sel darah merah, yang diakibatkan oleh kekurangan komponen penting seperti asam folat, vitamin B12, dan zat besi.  Gangguan pada sumsum tulang akibat tumor, pengobatan, atau toksin, serta kurangnya stimulasi eritropoietin pada penyakit ginjal kronis juga dapat menghambat produksi sel darah merah. Ketiga, anemia yang disebabkan oleh peningkatan kerusakan sel darah merah, biasanya dipicu oleh hiperaktivitas Sistem Retikuloendotelial (RES)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(Chasanah et al., 2019)</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Secara umum, sebagian orang dengan anemia tidak menunjukkan gejala atau tanda yang jelas. Namun demikian, ada beberapa gejala anemia yang dapat dialami oleh remaja. Di antaranya adalah rasa lelah yang berlebihan, perubahan suasana hati, kulit yang terlihat lebih pucat, serta sering mengalami pusing. Beberapa remaja juga dapat mengalami jaundice, yaitu kondisi di mana kulit dan mata menjadi kuning. Selain itu, detak </w:t>
      </w:r>
      <w:r w:rsidRPr="00B27896">
        <w:rPr>
          <w:rFonts w:ascii="Times New Roman" w:hAnsi="Times New Roman" w:cs="Times New Roman"/>
          <w:sz w:val="24"/>
          <w:szCs w:val="24"/>
        </w:rPr>
        <w:lastRenderedPageBreak/>
        <w:t>jantung yang lebih cepat dari biasanya, sesak napas, sindrom kaki gelisah, serta pembengkakan pada kaki dan tangan juga dapat terjadi, terutama pada kasus anemia berat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RI","given":"","non-dropping-particle":"","parse-names":false,"suffix":""}],"id":"ITEM-1","issued":{"date-parts":[["2023"]]},"title":"Mengenal Gejala Anemia Pada Remaja","type":"article-journal"},"uris":["http://www.mendeley.com/documents/?uuid=bf4efdcc-1095-434d-a665-24e9b90d6ba1"]}],"mendeley":{"formattedCitation":"(Kemenkes RI, 2023)","plainTextFormattedCitation":"(Kemenkes RI, 2023)","previouslyFormattedCitation":"(Kemenkes RI,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(Kemenkes RI, 2023)</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berdampak buruk pada remaja putri (Rematri dan wanita usia subur (WUS) dengan berbagai efek </w:t>
      </w:r>
      <w:proofErr w:type="gramStart"/>
      <w:r w:rsidRPr="00B27896">
        <w:rPr>
          <w:rFonts w:ascii="Times New Roman" w:hAnsi="Times New Roman" w:cs="Times New Roman"/>
          <w:sz w:val="24"/>
          <w:szCs w:val="24"/>
        </w:rPr>
        <w:t>merugikan.Kondisi</w:t>
      </w:r>
      <w:proofErr w:type="gramEnd"/>
      <w:r w:rsidRPr="00B27896">
        <w:rPr>
          <w:rFonts w:ascii="Times New Roman" w:hAnsi="Times New Roman" w:cs="Times New Roman"/>
          <w:sz w:val="24"/>
          <w:szCs w:val="24"/>
        </w:rPr>
        <w:t xml:space="preserve"> ini Menurunkan kekuatan sistem imun, sehingga penderita lebih rentan terhadap infeksi penyakit. Selain itu, anemia juga mengakibatkan kebugaran fisik dan ketajaman berpikir menurun akibat pasokan oksigen yang tidak mencukupi ke sel-sel otot dan otak. Serta menurunkan pencapaian akademik dan mengurangi produktivitas maupun kinerja. Dampak anemia pada remaja putri dan wanita usia subur dapat berlanjut hingga kehamilan, berpotensi meningkatkan risiko Pertumbuhan Janin Terhambat (PJT), kelahiran prematur, Berat Badan Lahir Rendah (BBLR), serta masalah dalam pertumbuhan dan perkembangan anak, seperti stunting dan gangguan neurokognitif. Selain itu, anemia pada masa kehamilan dapat meningkatkan risiko terjadinya perdarahan sebelum dan saat melahirkan, yang dapat membahayakan keselamatan ibu dan bayi. Bayi yang dilahirkan dengan cadangan zat besi (Fe) yang rendah berisiko mengalami anemia pada masa bayi dan masa kanak-kanak, serta dapat meningkatkan kemungkinan terjadinya penyakit dan kematian selama</w:t>
      </w:r>
      <w:r w:rsidR="00893D1F">
        <w:rPr>
          <w:rFonts w:ascii="Times New Roman" w:hAnsi="Times New Roman" w:cs="Times New Roman"/>
          <w:sz w:val="24"/>
          <w:szCs w:val="24"/>
        </w:rPr>
        <w:t xml:space="preserve"> periode neonatal dan masa bayi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2018)","manualFormatting":"Rivki dkk.,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Rivki dkk</w:t>
      </w:r>
      <w:r w:rsidR="00893D1F" w:rsidRPr="00893D1F">
        <w:rPr>
          <w:rFonts w:ascii="Times New Roman" w:hAnsi="Times New Roman" w:cs="Times New Roman"/>
          <w:noProof/>
          <w:sz w:val="24"/>
          <w:szCs w:val="24"/>
        </w:rPr>
        <w:t xml:space="preserve">.,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.Anemia pada remaja dapat menyebabkan keterlambatan pertumbuhan fisik, gangguan perilaku, </w:t>
      </w:r>
      <w:r w:rsidRPr="00B27896">
        <w:rPr>
          <w:rFonts w:ascii="Times New Roman" w:hAnsi="Times New Roman" w:cs="Times New Roman"/>
          <w:sz w:val="24"/>
          <w:szCs w:val="24"/>
        </w:rPr>
        <w:lastRenderedPageBreak/>
        <w:t>serta emosional. Hal ini dapat mempengaruhi proses pertumbuhan dan perkembangan sel otak, sehingga daya tahan tubuh menurun, mudah lemas, cepat merasa lapar, konsentrasi belajar terganggu, serta produktivitas kerja yang rendah sehingga dapat mengkibatkan intoleransi aktivitas</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(Mawaddah,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dicegah dengan mengonsumsi makanan yang kaya akan zat besi, asam folat, vitamin A, vitamin C, dan zinc, serta dengan pemberian tablet tambah darah sesuai anjuran dari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(Rivki et al., 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Sementara itu, menurut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2016)","manualFormatting":"Agustyas,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terdapat tiga langkah utama dalam tatalaksana anemia. Pertama, pemberian zat besi secara oral sebagai langkah awal. Kedua, pemberian zat besi secara intramuskular, yang dipertimbangkan jika respons terhadap terapi oral tidak memadai. Ketiga, transfusi darah dilakukan jika gejala anemia disertai risiko gagal jantung, terutama ketika kadar hemoglobin (Hb) mencapai 5-8 g/dl. Pada kondisi ini, komponen darah yang diberikan adalah Packed Red Cells (PRC) dengan tetesan lambat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Pemberian Sari Kurma sebagai upaya untuk mengatasi intoleransi aktivitas pada remaja putri dengan anemia didasari oleh kandungan nutrisi dalam Sari Kurma yang kaya akan zat besi, vitamin, dan mineral penting lainnya. Zat besi yang terkandung dalam Sari Kurma dapat meningkatkan kadar hemoglobin dalam darah, yang sangat penting untuk mengatasi anemia. Peningkatan kadar hemoglobin ini </w:t>
      </w:r>
      <w:r w:rsidRPr="00B27896">
        <w:rPr>
          <w:rFonts w:ascii="Times New Roman" w:hAnsi="Times New Roman" w:cs="Times New Roman"/>
          <w:sz w:val="24"/>
          <w:szCs w:val="24"/>
        </w:rPr>
        <w:lastRenderedPageBreak/>
        <w:t>membantu meningkatkan kemampuan darah dalam mengangkut oksigen ke seluruh tubuh, yang dapat meredakan gejala intoleransi aktivitas seperti kelelahan, pusing, dan rendahnya stamina fisik. Intoleransi aktivitas pada remaja putri dengan anemia sering kali disebabkan oleh rendahnya kadar hemoglobin, yang mengurangi pasokan oksigen ke otot dan otak. Dengan mengonsumsi Sari Kurma, diharapkan kondisi anemia dapat membaik, sehingga kebugaran fisik dan kemampuan melakukan aktivitas sehari-hari akan meningkat secara bertahap. Selain itu, Sari Kurma mengandung gula alami yang dapat memberikan energi tambahan, yang sangat dibutuhkan oleh remaja putri yang mengalami kelelahan akibat anemia</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(Indira &amp; Aisah, 2024)</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Sari kurma adalah minuman herbal yang 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 Ada beberapa penelitian yang mendukung Pemberian Sari Kurma untuk mengatasi masalah Intoleransi Aktivitas pada remaja putri dengan anemia. Hasil penelitian cmenunjukkan nilai signifikan (p&lt; 0,05), yang mengindikasikan ad anya pengaruh pemberian sari kurma terhadap peningkatan kadar hemoglobin pada responden dengan anemia. Sari kurma efektif dalam meningkatkan kadar </w:t>
      </w:r>
      <w:r w:rsidRPr="00B27896">
        <w:rPr>
          <w:rFonts w:ascii="Times New Roman" w:hAnsi="Times New Roman" w:cs="Times New Roman"/>
          <w:sz w:val="24"/>
          <w:szCs w:val="24"/>
        </w:rPr>
        <w:lastRenderedPageBreak/>
        <w:t xml:space="preserve">hemoglobin berkat kandungan nutrisinya. Oleh karena itu, disarankan untuk melanjutkan pemberian sari kurma dan melakukan penyuluhan kepada remaja untuk meningkatkan pengetahuan tentang gizi, kesehatan, dan asupan makanan. </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Penelitian pendukung kedua dari</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 xml:space="preserve"> </w:t>
      </w:r>
      <w:r w:rsidR="00893D1F" w:rsidRPr="00893D1F">
        <w:rPr>
          <w:rFonts w:ascii="Times New Roman" w:hAnsi="Times New Roman" w:cs="Times New Roman"/>
          <w:noProof/>
          <w:sz w:val="24"/>
          <w:szCs w:val="24"/>
        </w:rPr>
        <w:t xml:space="preserve">Mawaddah,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Hasil uji paired sample t-test menunjukkan bahwa sari kurma memiliki pengaruh terhadap peningkatan kadar hemoglobin pada remaja putri di SMPN 11 Palangka Raya, dengan p-Value= 0,00. Sari kurma dapat dijadikan salah satu alternatif pilihan untuk meningkatkan kadar Hb pada remaja </w:t>
      </w:r>
      <w:proofErr w:type="gramStart"/>
      <w:r w:rsidRPr="00B27896">
        <w:rPr>
          <w:rFonts w:ascii="Times New Roman" w:hAnsi="Times New Roman" w:cs="Times New Roman"/>
          <w:sz w:val="24"/>
          <w:szCs w:val="24"/>
        </w:rPr>
        <w:t>putri.Penelitian</w:t>
      </w:r>
      <w:proofErr w:type="gramEnd"/>
      <w:r w:rsidRPr="00B27896">
        <w:rPr>
          <w:rFonts w:ascii="Times New Roman" w:hAnsi="Times New Roman" w:cs="Times New Roman"/>
          <w:sz w:val="24"/>
          <w:szCs w:val="24"/>
        </w:rPr>
        <w:t xml:space="preserve"> pendukung ke tiga dari (Indira &amp; Aisah, 2024) Hasil studi kasus pada ketiga subjek yang mengalami anemia dan menerima terapi sari kurma selama 12 hari, dengan dosis 2x15 ml per hari setelah makan pagi dan malam, menunjukkan peningkatan kadar hemoglobin. Sebelum terapi, kadar hemoglobin rata-rata adalah 10,03 g/dL, sementara setelah pemberian sari kurma, kadar hemoglobin meningkat menjadi rata-rata 15,73 g/dL. Dengan demikian, terapi sari kurma dapat dianggap sebagai suplemen yang efektif sebagai terapi tambahan bagi penderita anemia. Sari kurma adalah minuman herbal yang berasal dari buah kurma yang mengandung protein, lemak, mineral, zat besi, dan zat asam. Buah kurma sangat kaya akan serat dan merupakan sumber </w:t>
      </w:r>
      <w:r w:rsidRPr="00B27896">
        <w:rPr>
          <w:rFonts w:ascii="Times New Roman" w:hAnsi="Times New Roman" w:cs="Times New Roman"/>
          <w:sz w:val="24"/>
          <w:szCs w:val="24"/>
        </w:rPr>
        <w:lastRenderedPageBreak/>
        <w:t>kalium yang sangat baik. Lima butir buah kurma mengandung sekitar 115 kalori dan 1,2 mg zat besi, yang dapat membantu meningkatkan kadar hemoglobin dan mencegah anemia.</w:t>
      </w:r>
    </w:p>
    <w:p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Banyak orang mungkin tidak memiliki informasi yang memadai mengenai manfaat sari kurma dan cara penggunaannya. Ketidaktahuan ini juga dapat mencakup kesalahpahaman mengenai efektivitas sari kurma. Dibuktikan dengan hasil wawancara dengan pelajar SMK yang belum tau bahwa sari kurma dapat bermanfaat untuk anemia.</w:t>
      </w:r>
    </w:p>
    <w:p w:rsid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Berdasarkan uraian tersebut, peneliti tertarik untuk meneliti "Pemberian Sari Kurma untuk mengatasi masalah Intoleransi Aktivitas pada remaja putri dengan anemia.”</w:t>
      </w:r>
    </w:p>
    <w:p w:rsidR="00CC487B" w:rsidRPr="00893D1F" w:rsidRDefault="00CC3F80" w:rsidP="00B27896">
      <w:pPr>
        <w:jc w:val="both"/>
        <w:rPr>
          <w:rFonts w:ascii="Times New Roman" w:hAnsi="Times New Roman" w:cs="Times New Roman"/>
          <w:b/>
          <w:sz w:val="24"/>
          <w:szCs w:val="24"/>
        </w:rPr>
      </w:pPr>
      <w:r w:rsidRPr="00893D1F">
        <w:rPr>
          <w:rFonts w:ascii="Times New Roman" w:hAnsi="Times New Roman" w:cs="Times New Roman"/>
          <w:b/>
          <w:sz w:val="24"/>
          <w:szCs w:val="24"/>
        </w:rPr>
        <w:t>METODOLOGI PENELITIAN</w:t>
      </w:r>
    </w:p>
    <w:p w:rsidR="00CC487B" w:rsidRPr="00B27896" w:rsidRDefault="00CC3F80" w:rsidP="00B27896">
      <w:pPr>
        <w:jc w:val="both"/>
        <w:rPr>
          <w:rFonts w:ascii="Times New Roman" w:hAnsi="Times New Roman" w:cs="Times New Roman"/>
          <w:sz w:val="24"/>
          <w:szCs w:val="24"/>
        </w:rPr>
      </w:pPr>
      <w:r w:rsidRPr="00B27896">
        <w:rPr>
          <w:rFonts w:ascii="Times New Roman" w:hAnsi="Times New Roman" w:cs="Times New Roman"/>
          <w:sz w:val="24"/>
          <w:szCs w:val="24"/>
        </w:rPr>
        <w:t>Penelitian ini menggunakan desain studi kasus dengan pendekatan deskriptif kualitatif. Subjek penelitian adalah dua remaja putri di Desa Malebo, Kecamatan Kandangan, Kabupaten Temanggung, dengan anemia dan intoleransi aktivitas. Intervensi berupa pemberian sari kurma sebanyak 2x15 ml per hari selama 14 hari. Data dikumpulkan melalui wawancara, observasi, dan pemeriksaan kadar hemoglobin menggunakan hemoglobinometer.</w:t>
      </w:r>
    </w:p>
    <w:p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num="2" w:space="720"/>
          <w:docGrid w:linePitch="360"/>
        </w:sectPr>
      </w:pPr>
    </w:p>
    <w:p w:rsidR="00893D1F" w:rsidRDefault="00893D1F">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761EA1" w:rsidRPr="00761EA1" w:rsidRDefault="00CC3F80" w:rsidP="00761EA1">
      <w:pPr>
        <w:rPr>
          <w:rFonts w:ascii="Times New Roman" w:hAnsi="Times New Roman" w:cs="Times New Roman"/>
          <w:b/>
          <w:sz w:val="24"/>
          <w:szCs w:val="24"/>
        </w:rPr>
      </w:pPr>
      <w:r w:rsidRPr="00761EA1">
        <w:rPr>
          <w:rFonts w:ascii="Times New Roman" w:hAnsi="Times New Roman" w:cs="Times New Roman"/>
          <w:b/>
          <w:sz w:val="24"/>
          <w:szCs w:val="24"/>
        </w:rPr>
        <w:lastRenderedPageBreak/>
        <w:t>HASIL PENELITIAN DAN PEMBAHASAN</w:t>
      </w:r>
    </w:p>
    <w:p w:rsidR="00761EA1" w:rsidRPr="005418A8" w:rsidRDefault="00761EA1" w:rsidP="00761EA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Karakteristik responden</w:t>
      </w:r>
    </w:p>
    <w:p w:rsidR="00761EA1" w:rsidRPr="00761EA1" w:rsidRDefault="00761EA1" w:rsidP="005418A8">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1. Karakteristik responden</w:t>
      </w:r>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272526" w:rsidTr="00230F02">
        <w:trPr>
          <w:trHeight w:val="54"/>
          <w:jc w:val="center"/>
        </w:trPr>
        <w:tc>
          <w:tcPr>
            <w:tcW w:w="567" w:type="dxa"/>
            <w:vMerge w:val="restart"/>
            <w:tcBorders>
              <w:top w:val="single" w:sz="4" w:space="0" w:color="auto"/>
            </w:tcBorders>
            <w:vAlign w:val="center"/>
            <w:hideMark/>
          </w:tcPr>
          <w:p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No</w:t>
            </w:r>
          </w:p>
        </w:tc>
        <w:tc>
          <w:tcPr>
            <w:tcW w:w="1787" w:type="dxa"/>
            <w:vMerge w:val="restart"/>
            <w:tcBorders>
              <w:top w:val="single" w:sz="4" w:space="0" w:color="auto"/>
            </w:tcBorders>
            <w:vAlign w:val="center"/>
            <w:hideMark/>
          </w:tcPr>
          <w:p w:rsidR="00761EA1" w:rsidRPr="00272526" w:rsidRDefault="00230F02" w:rsidP="005418A8">
            <w:pPr>
              <w:spacing w:after="0" w:line="240" w:lineRule="auto"/>
              <w:jc w:val="center"/>
              <w:rPr>
                <w:rFonts w:asciiTheme="majorBidi" w:hAnsiTheme="majorBidi" w:cstheme="majorBidi"/>
                <w:b/>
                <w:bCs/>
              </w:rPr>
            </w:pPr>
            <w:r w:rsidRPr="00272526">
              <w:rPr>
                <w:rFonts w:asciiTheme="majorBidi" w:hAnsiTheme="majorBidi" w:cstheme="majorBidi"/>
                <w:b/>
                <w:bCs/>
              </w:rPr>
              <w:t>Karakteristik</w:t>
            </w:r>
          </w:p>
        </w:tc>
        <w:tc>
          <w:tcPr>
            <w:tcW w:w="1984" w:type="dxa"/>
            <w:gridSpan w:val="2"/>
            <w:tcBorders>
              <w:top w:val="single" w:sz="4" w:space="0" w:color="auto"/>
              <w:bottom w:val="single" w:sz="4" w:space="0" w:color="auto"/>
            </w:tcBorders>
            <w:vAlign w:val="center"/>
          </w:tcPr>
          <w:p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Nn.A</w:t>
            </w:r>
          </w:p>
        </w:tc>
        <w:tc>
          <w:tcPr>
            <w:tcW w:w="1560" w:type="dxa"/>
            <w:gridSpan w:val="2"/>
            <w:tcBorders>
              <w:top w:val="single" w:sz="4" w:space="0" w:color="auto"/>
              <w:bottom w:val="single" w:sz="4" w:space="0" w:color="auto"/>
            </w:tcBorders>
          </w:tcPr>
          <w:p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Nn.F</w:t>
            </w:r>
          </w:p>
        </w:tc>
      </w:tr>
      <w:tr w:rsidR="00761EA1" w:rsidRPr="00272526" w:rsidTr="00230F02">
        <w:trPr>
          <w:trHeight w:val="54"/>
          <w:jc w:val="center"/>
        </w:trPr>
        <w:tc>
          <w:tcPr>
            <w:tcW w:w="567" w:type="dxa"/>
            <w:vMerge/>
            <w:tcBorders>
              <w:bottom w:val="single" w:sz="4" w:space="0" w:color="auto"/>
            </w:tcBorders>
            <w:vAlign w:val="center"/>
          </w:tcPr>
          <w:p w:rsidR="00761EA1" w:rsidRPr="00272526" w:rsidRDefault="00761EA1" w:rsidP="005418A8">
            <w:pPr>
              <w:spacing w:after="0" w:line="240" w:lineRule="auto"/>
              <w:rPr>
                <w:rFonts w:asciiTheme="majorBidi" w:hAnsiTheme="majorBidi" w:cstheme="majorBidi"/>
                <w:b/>
                <w:bCs/>
              </w:rPr>
            </w:pPr>
          </w:p>
        </w:tc>
        <w:tc>
          <w:tcPr>
            <w:tcW w:w="1787" w:type="dxa"/>
            <w:vMerge/>
            <w:tcBorders>
              <w:bottom w:val="single" w:sz="4" w:space="0" w:color="auto"/>
            </w:tcBorders>
            <w:vAlign w:val="center"/>
          </w:tcPr>
          <w:p w:rsidR="00761EA1" w:rsidRPr="00272526" w:rsidRDefault="00761EA1" w:rsidP="005418A8">
            <w:pPr>
              <w:spacing w:after="0" w:line="240" w:lineRule="auto"/>
              <w:jc w:val="center"/>
              <w:rPr>
                <w:rFonts w:asciiTheme="majorBidi" w:hAnsiTheme="majorBidi" w:cstheme="majorBidi"/>
                <w:b/>
                <w:bCs/>
              </w:rPr>
            </w:pPr>
          </w:p>
        </w:tc>
        <w:tc>
          <w:tcPr>
            <w:tcW w:w="1134" w:type="dxa"/>
            <w:tcBorders>
              <w:top w:val="single" w:sz="4" w:space="0" w:color="auto"/>
              <w:bottom w:val="single" w:sz="4" w:space="0" w:color="auto"/>
            </w:tcBorders>
            <w:vAlign w:val="center"/>
          </w:tcPr>
          <w:p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 xml:space="preserve">Ya </w:t>
            </w:r>
          </w:p>
        </w:tc>
        <w:tc>
          <w:tcPr>
            <w:tcW w:w="850" w:type="dxa"/>
            <w:tcBorders>
              <w:top w:val="single" w:sz="4" w:space="0" w:color="auto"/>
              <w:bottom w:val="single" w:sz="4" w:space="0" w:color="auto"/>
            </w:tcBorders>
            <w:vAlign w:val="center"/>
          </w:tcPr>
          <w:p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c>
          <w:tcPr>
            <w:tcW w:w="709" w:type="dxa"/>
            <w:tcBorders>
              <w:top w:val="single" w:sz="4" w:space="0" w:color="auto"/>
              <w:bottom w:val="single" w:sz="4" w:space="0" w:color="auto"/>
            </w:tcBorders>
          </w:tcPr>
          <w:p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Ya </w:t>
            </w:r>
          </w:p>
        </w:tc>
        <w:tc>
          <w:tcPr>
            <w:tcW w:w="851" w:type="dxa"/>
            <w:tcBorders>
              <w:top w:val="single" w:sz="4" w:space="0" w:color="auto"/>
              <w:bottom w:val="single" w:sz="4" w:space="0" w:color="auto"/>
            </w:tcBorders>
          </w:tcPr>
          <w:p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r>
      <w:tr w:rsidR="00761EA1" w:rsidRPr="00272526" w:rsidTr="00230F02">
        <w:trPr>
          <w:trHeight w:val="54"/>
          <w:jc w:val="center"/>
        </w:trPr>
        <w:tc>
          <w:tcPr>
            <w:tcW w:w="567" w:type="dxa"/>
            <w:tcBorders>
              <w:top w:val="single" w:sz="4" w:space="0" w:color="auto"/>
            </w:tcBorders>
            <w:vAlign w:val="center"/>
            <w:hideMark/>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1.</w:t>
            </w:r>
          </w:p>
        </w:tc>
        <w:tc>
          <w:tcPr>
            <w:tcW w:w="1787" w:type="dxa"/>
            <w:tcBorders>
              <w:top w:val="single" w:sz="4" w:space="0" w:color="auto"/>
            </w:tcBorders>
            <w:vAlign w:val="center"/>
            <w:hideMark/>
          </w:tcPr>
          <w:p w:rsidR="00761EA1" w:rsidRPr="00272526" w:rsidRDefault="00761EA1" w:rsidP="005418A8">
            <w:pPr>
              <w:spacing w:after="0" w:line="240" w:lineRule="auto"/>
              <w:rPr>
                <w:rFonts w:asciiTheme="majorBidi" w:hAnsiTheme="majorBidi" w:cstheme="majorBidi"/>
                <w:b/>
              </w:rPr>
            </w:pPr>
            <w:r w:rsidRPr="00272526">
              <w:rPr>
                <w:rFonts w:asciiTheme="majorBidi" w:hAnsiTheme="majorBidi" w:cstheme="majorBidi"/>
              </w:rPr>
              <w:t>Sesak napas (</w:t>
            </w:r>
            <w:r w:rsidRPr="00272526">
              <w:rPr>
                <w:rFonts w:asciiTheme="majorBidi" w:hAnsiTheme="majorBidi" w:cstheme="majorBidi"/>
                <w:i/>
                <w:iCs/>
              </w:rPr>
              <w:t>dypsnea</w:t>
            </w:r>
            <w:r w:rsidRPr="00272526">
              <w:rPr>
                <w:rFonts w:asciiTheme="majorBidi" w:hAnsiTheme="majorBidi" w:cstheme="majorBidi"/>
              </w:rPr>
              <w:t>)</w:t>
            </w:r>
          </w:p>
        </w:tc>
        <w:tc>
          <w:tcPr>
            <w:tcW w:w="1134" w:type="dxa"/>
            <w:tcBorders>
              <w:top w:val="single" w:sz="4" w:space="0" w:color="auto"/>
            </w:tcBorders>
            <w:vAlign w:val="center"/>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top w:val="single" w:sz="4" w:space="0" w:color="auto"/>
            </w:tcBorders>
            <w:vAlign w:val="center"/>
          </w:tcPr>
          <w:p w:rsidR="00761EA1" w:rsidRPr="00272526" w:rsidRDefault="00761EA1" w:rsidP="005418A8">
            <w:pPr>
              <w:spacing w:after="0" w:line="240" w:lineRule="auto"/>
              <w:rPr>
                <w:rFonts w:asciiTheme="majorBidi" w:hAnsiTheme="majorBidi" w:cstheme="majorBidi"/>
              </w:rPr>
            </w:pPr>
          </w:p>
        </w:tc>
        <w:tc>
          <w:tcPr>
            <w:tcW w:w="709" w:type="dxa"/>
            <w:tcBorders>
              <w:top w:val="single" w:sz="4" w:space="0" w:color="auto"/>
            </w:tcBorders>
          </w:tcPr>
          <w:p w:rsidR="00761EA1" w:rsidRPr="00272526" w:rsidRDefault="00761EA1" w:rsidP="005418A8">
            <w:pPr>
              <w:spacing w:after="0" w:line="240" w:lineRule="auto"/>
              <w:rPr>
                <w:rFonts w:asciiTheme="majorBidi" w:hAnsiTheme="majorBidi" w:cstheme="majorBidi"/>
              </w:rPr>
            </w:pPr>
          </w:p>
        </w:tc>
        <w:tc>
          <w:tcPr>
            <w:tcW w:w="851" w:type="dxa"/>
            <w:tcBorders>
              <w:top w:val="single" w:sz="4" w:space="0" w:color="auto"/>
            </w:tcBorders>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sym w:font="Wingdings" w:char="F0FC"/>
            </w:r>
          </w:p>
        </w:tc>
      </w:tr>
      <w:tr w:rsidR="00761EA1" w:rsidRPr="00272526" w:rsidTr="00230F02">
        <w:trPr>
          <w:trHeight w:val="54"/>
          <w:jc w:val="center"/>
        </w:trPr>
        <w:tc>
          <w:tcPr>
            <w:tcW w:w="567" w:type="dxa"/>
            <w:vAlign w:val="center"/>
            <w:hideMark/>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2.</w:t>
            </w:r>
          </w:p>
        </w:tc>
        <w:tc>
          <w:tcPr>
            <w:tcW w:w="1787" w:type="dxa"/>
            <w:vAlign w:val="center"/>
            <w:hideMark/>
          </w:tcPr>
          <w:p w:rsidR="00761EA1" w:rsidRPr="00272526" w:rsidRDefault="00761EA1" w:rsidP="005418A8">
            <w:pPr>
              <w:spacing w:after="0" w:line="240" w:lineRule="auto"/>
              <w:rPr>
                <w:rFonts w:asciiTheme="majorBidi" w:hAnsiTheme="majorBidi" w:cstheme="majorBidi"/>
                <w:bCs/>
              </w:rPr>
            </w:pPr>
            <w:r w:rsidRPr="00272526">
              <w:rPr>
                <w:rFonts w:asciiTheme="majorBidi" w:hAnsiTheme="majorBidi" w:cstheme="majorBidi"/>
              </w:rPr>
              <w:t xml:space="preserve">Detak jantung cepat (palpitasi) </w:t>
            </w:r>
          </w:p>
        </w:tc>
        <w:tc>
          <w:tcPr>
            <w:tcW w:w="1134" w:type="dxa"/>
            <w:vAlign w:val="center"/>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rsidR="00761EA1" w:rsidRPr="00272526" w:rsidRDefault="00761EA1" w:rsidP="005418A8">
            <w:pPr>
              <w:spacing w:after="0" w:line="240" w:lineRule="auto"/>
              <w:rPr>
                <w:rFonts w:asciiTheme="majorBidi" w:hAnsiTheme="majorBidi" w:cstheme="majorBidi"/>
              </w:rPr>
            </w:pPr>
          </w:p>
        </w:tc>
        <w:tc>
          <w:tcPr>
            <w:tcW w:w="709" w:type="dxa"/>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rsidR="00761EA1" w:rsidRPr="00272526" w:rsidRDefault="00761EA1" w:rsidP="005418A8">
            <w:pPr>
              <w:spacing w:after="0" w:line="240" w:lineRule="auto"/>
              <w:rPr>
                <w:rFonts w:asciiTheme="majorBidi" w:hAnsiTheme="majorBidi" w:cstheme="majorBidi"/>
              </w:rPr>
            </w:pPr>
          </w:p>
        </w:tc>
      </w:tr>
      <w:tr w:rsidR="00761EA1" w:rsidRPr="00272526" w:rsidTr="00230F02">
        <w:trPr>
          <w:trHeight w:val="54"/>
          <w:jc w:val="center"/>
        </w:trPr>
        <w:tc>
          <w:tcPr>
            <w:tcW w:w="567" w:type="dxa"/>
            <w:vAlign w:val="center"/>
            <w:hideMark/>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3.</w:t>
            </w:r>
          </w:p>
        </w:tc>
        <w:tc>
          <w:tcPr>
            <w:tcW w:w="1787" w:type="dxa"/>
            <w:vAlign w:val="center"/>
            <w:hideMark/>
          </w:tcPr>
          <w:p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Keringat berlebih</w:t>
            </w:r>
          </w:p>
        </w:tc>
        <w:tc>
          <w:tcPr>
            <w:tcW w:w="1134" w:type="dxa"/>
            <w:vAlign w:val="center"/>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rsidR="00761EA1" w:rsidRPr="00272526" w:rsidRDefault="00761EA1" w:rsidP="005418A8">
            <w:pPr>
              <w:spacing w:after="0" w:line="240" w:lineRule="auto"/>
              <w:rPr>
                <w:rFonts w:asciiTheme="majorBidi" w:hAnsiTheme="majorBidi" w:cstheme="majorBidi"/>
              </w:rPr>
            </w:pPr>
          </w:p>
        </w:tc>
        <w:tc>
          <w:tcPr>
            <w:tcW w:w="709" w:type="dxa"/>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rsidR="00761EA1" w:rsidRPr="00272526" w:rsidRDefault="00761EA1" w:rsidP="005418A8">
            <w:pPr>
              <w:spacing w:after="0" w:line="240" w:lineRule="auto"/>
              <w:rPr>
                <w:rFonts w:asciiTheme="majorBidi" w:hAnsiTheme="majorBidi" w:cstheme="majorBidi"/>
              </w:rPr>
            </w:pPr>
          </w:p>
        </w:tc>
      </w:tr>
      <w:tr w:rsidR="00761EA1" w:rsidRPr="00272526" w:rsidTr="00230F02">
        <w:trPr>
          <w:trHeight w:val="54"/>
          <w:jc w:val="center"/>
        </w:trPr>
        <w:tc>
          <w:tcPr>
            <w:tcW w:w="567" w:type="dxa"/>
            <w:vAlign w:val="center"/>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4.</w:t>
            </w:r>
          </w:p>
        </w:tc>
        <w:tc>
          <w:tcPr>
            <w:tcW w:w="1787" w:type="dxa"/>
            <w:vAlign w:val="center"/>
          </w:tcPr>
          <w:p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 xml:space="preserve">Kelelahan </w:t>
            </w:r>
          </w:p>
        </w:tc>
        <w:tc>
          <w:tcPr>
            <w:tcW w:w="1134" w:type="dxa"/>
            <w:vAlign w:val="center"/>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rsidR="00761EA1" w:rsidRPr="00272526" w:rsidRDefault="00761EA1" w:rsidP="005418A8">
            <w:pPr>
              <w:spacing w:after="0" w:line="240" w:lineRule="auto"/>
              <w:rPr>
                <w:rFonts w:asciiTheme="majorBidi" w:hAnsiTheme="majorBidi" w:cstheme="majorBidi"/>
              </w:rPr>
            </w:pPr>
          </w:p>
        </w:tc>
        <w:tc>
          <w:tcPr>
            <w:tcW w:w="709" w:type="dxa"/>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rsidR="00761EA1" w:rsidRPr="00272526" w:rsidRDefault="00761EA1" w:rsidP="005418A8">
            <w:pPr>
              <w:spacing w:after="0" w:line="240" w:lineRule="auto"/>
              <w:rPr>
                <w:rFonts w:asciiTheme="majorBidi" w:hAnsiTheme="majorBidi" w:cstheme="majorBidi"/>
              </w:rPr>
            </w:pPr>
          </w:p>
        </w:tc>
      </w:tr>
      <w:tr w:rsidR="00761EA1" w:rsidRPr="00272526" w:rsidTr="00230F02">
        <w:trPr>
          <w:trHeight w:val="54"/>
          <w:jc w:val="center"/>
        </w:trPr>
        <w:tc>
          <w:tcPr>
            <w:tcW w:w="567" w:type="dxa"/>
            <w:tcBorders>
              <w:bottom w:val="single" w:sz="4" w:space="0" w:color="auto"/>
            </w:tcBorders>
            <w:vAlign w:val="center"/>
          </w:tcPr>
          <w:p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5.</w:t>
            </w:r>
          </w:p>
        </w:tc>
        <w:tc>
          <w:tcPr>
            <w:tcW w:w="1787" w:type="dxa"/>
            <w:tcBorders>
              <w:bottom w:val="single" w:sz="4" w:space="0" w:color="auto"/>
            </w:tcBorders>
            <w:vAlign w:val="center"/>
          </w:tcPr>
          <w:p w:rsidR="00761EA1" w:rsidRPr="00272526" w:rsidRDefault="00761EA1" w:rsidP="005418A8">
            <w:pPr>
              <w:spacing w:after="0" w:line="240" w:lineRule="auto"/>
              <w:rPr>
                <w:rFonts w:asciiTheme="majorBidi" w:hAnsiTheme="majorBidi" w:cstheme="majorBidi"/>
                <w:lang w:val="sv-SE"/>
              </w:rPr>
            </w:pPr>
            <w:r w:rsidRPr="00272526">
              <w:rPr>
                <w:rFonts w:ascii="Times New Roman" w:eastAsia="Times New Roman" w:hAnsi="Times New Roman" w:cs="Times New Roman"/>
                <w:lang w:val="sv-SE"/>
              </w:rPr>
              <w:t>Kadar Hb berada diantara 6-10 g/dl</w:t>
            </w:r>
          </w:p>
        </w:tc>
        <w:tc>
          <w:tcPr>
            <w:tcW w:w="1134" w:type="dxa"/>
            <w:tcBorders>
              <w:bottom w:val="single" w:sz="4" w:space="0" w:color="auto"/>
            </w:tcBorders>
            <w:vAlign w:val="center"/>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bottom w:val="single" w:sz="4" w:space="0" w:color="auto"/>
            </w:tcBorders>
            <w:vAlign w:val="center"/>
          </w:tcPr>
          <w:p w:rsidR="00761EA1" w:rsidRPr="00272526" w:rsidRDefault="00761EA1" w:rsidP="005418A8">
            <w:pPr>
              <w:spacing w:after="0" w:line="240" w:lineRule="auto"/>
              <w:rPr>
                <w:rFonts w:asciiTheme="majorBidi" w:hAnsiTheme="majorBidi" w:cstheme="majorBidi"/>
              </w:rPr>
            </w:pPr>
          </w:p>
        </w:tc>
        <w:tc>
          <w:tcPr>
            <w:tcW w:w="709" w:type="dxa"/>
            <w:tcBorders>
              <w:bottom w:val="single" w:sz="4" w:space="0" w:color="auto"/>
            </w:tcBorders>
          </w:tcPr>
          <w:p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Borders>
              <w:bottom w:val="single" w:sz="4" w:space="0" w:color="auto"/>
            </w:tcBorders>
          </w:tcPr>
          <w:p w:rsidR="00761EA1" w:rsidRPr="00272526" w:rsidRDefault="00761EA1" w:rsidP="005418A8">
            <w:pPr>
              <w:spacing w:after="0" w:line="240" w:lineRule="auto"/>
              <w:rPr>
                <w:rFonts w:asciiTheme="majorBidi" w:hAnsiTheme="majorBidi" w:cstheme="majorBidi"/>
              </w:rPr>
            </w:pPr>
          </w:p>
        </w:tc>
      </w:tr>
    </w:tbl>
    <w:p w:rsidR="00761EA1" w:rsidRDefault="00761EA1" w:rsidP="00761EA1">
      <w:pPr>
        <w:rPr>
          <w:rFonts w:ascii="Times New Roman" w:hAnsi="Times New Roman" w:cs="Times New Roman"/>
          <w:sz w:val="24"/>
          <w:szCs w:val="24"/>
        </w:rPr>
      </w:pPr>
    </w:p>
    <w:p w:rsidR="00761EA1" w:rsidRPr="00761EA1" w:rsidRDefault="00761EA1" w:rsidP="00761EA1">
      <w:pPr>
        <w:jc w:val="both"/>
        <w:rPr>
          <w:rFonts w:ascii="Times New Roman" w:hAnsi="Times New Roman" w:cs="Times New Roman"/>
          <w:sz w:val="24"/>
          <w:szCs w:val="24"/>
        </w:rPr>
      </w:pPr>
      <w:r w:rsidRPr="00761EA1">
        <w:rPr>
          <w:rFonts w:ascii="Times New Roman" w:hAnsi="Times New Roman" w:cs="Times New Roman"/>
          <w:sz w:val="24"/>
          <w:szCs w:val="24"/>
        </w:rPr>
        <w:t>Hasil pengkajian menunjukkan bahwa kedua responden (</w:t>
      </w:r>
      <w:proofErr w:type="gramStart"/>
      <w:r w:rsidRPr="00761EA1">
        <w:rPr>
          <w:rFonts w:ascii="Times New Roman" w:hAnsi="Times New Roman" w:cs="Times New Roman"/>
          <w:sz w:val="24"/>
          <w:szCs w:val="24"/>
        </w:rPr>
        <w:t>Nn.A</w:t>
      </w:r>
      <w:proofErr w:type="gramEnd"/>
      <w:r w:rsidRPr="00761EA1">
        <w:rPr>
          <w:rFonts w:ascii="Times New Roman" w:hAnsi="Times New Roman" w:cs="Times New Roman"/>
          <w:sz w:val="24"/>
          <w:szCs w:val="24"/>
        </w:rPr>
        <w:t xml:space="preserve"> dan Nn.F) mengalami gejala klasik anemia seperti sesak napas, palpitasi, dan kelelahan. Gejala tersebut sesuai dengan kondisi anemia defisiensi besi yang sering dialami oleh remaja putri, terutama saat kadar Hb turun hingga &lt;12 g/dl. Kondisi ini memperkuat diagnosa keperawatan “Intoleransi Aktivitas” yang memerlukan intervensi peningkatan kadar hemoglobin.</w:t>
      </w:r>
    </w:p>
    <w:p w:rsidR="00761EA1" w:rsidRDefault="00761EA1" w:rsidP="00761EA1">
      <w:pPr>
        <w:pStyle w:val="ListParagraph"/>
        <w:numPr>
          <w:ilvl w:val="0"/>
          <w:numId w:val="10"/>
        </w:numPr>
        <w:rPr>
          <w:rFonts w:ascii="Times New Roman" w:hAnsi="Times New Roman" w:cs="Times New Roman"/>
          <w:sz w:val="24"/>
          <w:szCs w:val="24"/>
        </w:rPr>
      </w:pPr>
      <w:r w:rsidRPr="00761EA1">
        <w:rPr>
          <w:rFonts w:ascii="Times New Roman" w:hAnsi="Times New Roman" w:cs="Times New Roman"/>
          <w:sz w:val="24"/>
          <w:szCs w:val="24"/>
        </w:rPr>
        <w:t>Pengkajian Intoleransi Aktivitas</w:t>
      </w:r>
    </w:p>
    <w:p w:rsidR="00761EA1" w:rsidRDefault="00761EA1" w:rsidP="00761EA1">
      <w:pPr>
        <w:pStyle w:val="ListParagraph"/>
        <w:rPr>
          <w:rFonts w:ascii="Times New Roman" w:hAnsi="Times New Roman" w:cs="Times New Roman"/>
          <w:sz w:val="24"/>
          <w:szCs w:val="24"/>
        </w:rPr>
      </w:pPr>
    </w:p>
    <w:p w:rsidR="00761EA1" w:rsidRPr="00761EA1" w:rsidRDefault="00761EA1" w:rsidP="005418A8">
      <w:pPr>
        <w:pStyle w:val="ListParagraph"/>
        <w:jc w:val="center"/>
        <w:rPr>
          <w:rFonts w:ascii="Times New Roman" w:hAnsi="Times New Roman" w:cs="Times New Roman"/>
          <w:sz w:val="24"/>
          <w:szCs w:val="24"/>
        </w:rPr>
      </w:pPr>
      <w:r w:rsidRPr="00761EA1">
        <w:rPr>
          <w:rFonts w:ascii="Times New Roman" w:hAnsi="Times New Roman" w:cs="Times New Roman"/>
          <w:sz w:val="24"/>
          <w:szCs w:val="24"/>
        </w:rPr>
        <w:t>Tabel 2. Hasil Pengkajian Intoleransi Aktiv</w:t>
      </w:r>
      <w:r>
        <w:rPr>
          <w:rFonts w:ascii="Times New Roman" w:hAnsi="Times New Roman" w:cs="Times New Roman"/>
          <w:sz w:val="24"/>
          <w:szCs w:val="24"/>
        </w:rPr>
        <w:t>itas</w:t>
      </w:r>
    </w:p>
    <w:tbl>
      <w:tblPr>
        <w:tblW w:w="5630" w:type="dxa"/>
        <w:jc w:val="center"/>
        <w:tblBorders>
          <w:top w:val="single" w:sz="4" w:space="0" w:color="auto"/>
          <w:bottom w:val="single" w:sz="4" w:space="0" w:color="auto"/>
        </w:tblBorders>
        <w:tblLook w:val="04A0" w:firstRow="1" w:lastRow="0" w:firstColumn="1" w:lastColumn="0" w:noHBand="0" w:noVBand="1"/>
      </w:tblPr>
      <w:tblGrid>
        <w:gridCol w:w="510"/>
        <w:gridCol w:w="2143"/>
        <w:gridCol w:w="708"/>
        <w:gridCol w:w="779"/>
        <w:gridCol w:w="640"/>
        <w:gridCol w:w="850"/>
      </w:tblGrid>
      <w:tr w:rsidR="00761EA1" w:rsidRPr="005418A8" w:rsidTr="00230F02">
        <w:trPr>
          <w:trHeight w:val="73"/>
          <w:jc w:val="center"/>
        </w:trPr>
        <w:tc>
          <w:tcPr>
            <w:tcW w:w="510" w:type="dxa"/>
            <w:vMerge w:val="restart"/>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No</w:t>
            </w:r>
          </w:p>
        </w:tc>
        <w:tc>
          <w:tcPr>
            <w:tcW w:w="2143" w:type="dxa"/>
            <w:vMerge w:val="restart"/>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Karakteristik</w:t>
            </w:r>
          </w:p>
        </w:tc>
        <w:tc>
          <w:tcPr>
            <w:tcW w:w="1487" w:type="dxa"/>
            <w:gridSpan w:val="2"/>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Nn.A</w:t>
            </w:r>
          </w:p>
        </w:tc>
        <w:tc>
          <w:tcPr>
            <w:tcW w:w="1490" w:type="dxa"/>
            <w:gridSpan w:val="2"/>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Nn.F</w:t>
            </w:r>
          </w:p>
        </w:tc>
      </w:tr>
      <w:tr w:rsidR="00761EA1" w:rsidRPr="005418A8" w:rsidTr="00230F02">
        <w:trPr>
          <w:trHeight w:val="73"/>
          <w:jc w:val="center"/>
        </w:trPr>
        <w:tc>
          <w:tcPr>
            <w:tcW w:w="510" w:type="dxa"/>
            <w:vMerge/>
            <w:tcBorders>
              <w:top w:val="nil"/>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2143" w:type="dxa"/>
            <w:vMerge/>
            <w:tcBorders>
              <w:top w:val="nil"/>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708" w:type="dxa"/>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779" w:type="dxa"/>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c>
          <w:tcPr>
            <w:tcW w:w="640" w:type="dxa"/>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850" w:type="dxa"/>
            <w:tcBorders>
              <w:top w:val="single" w:sz="4" w:space="0" w:color="auto"/>
              <w:bottom w:val="single" w:sz="4" w:space="0" w:color="auto"/>
            </w:tcBorders>
            <w:vAlign w:val="center"/>
          </w:tcPr>
          <w:p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r>
      <w:tr w:rsidR="00761EA1" w:rsidRPr="005418A8" w:rsidTr="00230F02">
        <w:trPr>
          <w:trHeight w:val="223"/>
          <w:jc w:val="center"/>
        </w:trPr>
        <w:tc>
          <w:tcPr>
            <w:tcW w:w="510" w:type="dxa"/>
            <w:tcBorders>
              <w:top w:val="single" w:sz="4" w:space="0" w:color="auto"/>
            </w:tcBorders>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1.</w:t>
            </w:r>
          </w:p>
        </w:tc>
        <w:tc>
          <w:tcPr>
            <w:tcW w:w="2143" w:type="dxa"/>
            <w:tcBorders>
              <w:top w:val="single" w:sz="4" w:space="0" w:color="auto"/>
            </w:tcBorders>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mengeluh lelah</w:t>
            </w:r>
          </w:p>
        </w:tc>
        <w:tc>
          <w:tcPr>
            <w:tcW w:w="708" w:type="dxa"/>
            <w:tcBorders>
              <w:top w:val="single" w:sz="4" w:space="0" w:color="auto"/>
            </w:tcBorders>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Borders>
              <w:top w:val="single" w:sz="4" w:space="0" w:color="auto"/>
            </w:tcBorders>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Borders>
              <w:top w:val="single" w:sz="4" w:space="0" w:color="auto"/>
            </w:tcBorders>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Borders>
              <w:top w:val="single" w:sz="4" w:space="0" w:color="auto"/>
            </w:tcBorders>
          </w:tcPr>
          <w:p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2</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mengeluh dipsnea saat/setelah aktivitas</w:t>
            </w:r>
          </w:p>
        </w:tc>
        <w:tc>
          <w:tcPr>
            <w:tcW w:w="708"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p>
        </w:tc>
        <w:tc>
          <w:tcPr>
            <w:tcW w:w="85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3.</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merasa tidak nyaman setelah melakukan aktivitas</w:t>
            </w:r>
          </w:p>
        </w:tc>
        <w:tc>
          <w:tcPr>
            <w:tcW w:w="708"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4.</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merasa lemah</w:t>
            </w:r>
          </w:p>
        </w:tc>
        <w:tc>
          <w:tcPr>
            <w:tcW w:w="708"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5.</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Frekuensi jantung meningkat &gt;20% dari kondisi istirahat  </w:t>
            </w:r>
          </w:p>
        </w:tc>
        <w:tc>
          <w:tcPr>
            <w:tcW w:w="708"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6. </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Tekanan darah berubah &gt;20% dari kondisi istirahat </w:t>
            </w:r>
          </w:p>
        </w:tc>
        <w:tc>
          <w:tcPr>
            <w:tcW w:w="708"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rsidTr="00230F02">
        <w:trPr>
          <w:jc w:val="center"/>
        </w:trPr>
        <w:tc>
          <w:tcPr>
            <w:tcW w:w="510"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6.</w:t>
            </w:r>
          </w:p>
        </w:tc>
        <w:tc>
          <w:tcPr>
            <w:tcW w:w="2143"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Sianosis </w:t>
            </w:r>
          </w:p>
        </w:tc>
        <w:tc>
          <w:tcPr>
            <w:tcW w:w="708" w:type="dxa"/>
          </w:tcPr>
          <w:p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 </w:t>
            </w:r>
          </w:p>
        </w:tc>
        <w:tc>
          <w:tcPr>
            <w:tcW w:w="779"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640" w:type="dxa"/>
          </w:tcPr>
          <w:p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rsidR="00761EA1" w:rsidRPr="005418A8" w:rsidRDefault="00761EA1" w:rsidP="005418A8">
            <w:pPr>
              <w:pStyle w:val="ListParagraph"/>
              <w:spacing w:after="0" w:line="240" w:lineRule="auto"/>
              <w:ind w:left="0"/>
              <w:jc w:val="both"/>
              <w:rPr>
                <w:rFonts w:ascii="Times New Roman" w:hAnsi="Times New Roman" w:cs="Times New Roman"/>
              </w:rPr>
            </w:pPr>
          </w:p>
        </w:tc>
      </w:tr>
    </w:tbl>
    <w:p w:rsidR="00761EA1" w:rsidRDefault="00761EA1" w:rsidP="00761EA1">
      <w:pPr>
        <w:rPr>
          <w:rFonts w:ascii="Times New Roman" w:hAnsi="Times New Roman" w:cs="Times New Roman"/>
          <w:sz w:val="24"/>
          <w:szCs w:val="24"/>
        </w:rPr>
      </w:pPr>
    </w:p>
    <w:p w:rsidR="00232B51" w:rsidRDefault="00232B51" w:rsidP="00232B5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Data </w:t>
      </w:r>
      <w:r w:rsidRPr="00232B51">
        <w:rPr>
          <w:rFonts w:ascii="Times New Roman" w:hAnsi="Times New Roman" w:cs="Times New Roman"/>
          <w:sz w:val="24"/>
          <w:szCs w:val="24"/>
        </w:rPr>
        <w:t xml:space="preserve">menunjukkan bahwa </w:t>
      </w:r>
      <w:proofErr w:type="gramStart"/>
      <w:r w:rsidRPr="00232B51">
        <w:rPr>
          <w:rFonts w:ascii="Times New Roman" w:hAnsi="Times New Roman" w:cs="Times New Roman"/>
          <w:sz w:val="24"/>
          <w:szCs w:val="24"/>
        </w:rPr>
        <w:t>Nn.A</w:t>
      </w:r>
      <w:proofErr w:type="gramEnd"/>
      <w:r w:rsidRPr="00232B51">
        <w:rPr>
          <w:rFonts w:ascii="Times New Roman" w:hAnsi="Times New Roman" w:cs="Times New Roman"/>
          <w:sz w:val="24"/>
          <w:szCs w:val="24"/>
        </w:rPr>
        <w:t xml:space="preserve"> dan Nn.F sudah sesuai dengan gejala dan tanda mayor 100% sehingga kedua responden dapat dikatakan mengalami intoleransi aktivitas.</w:t>
      </w:r>
      <w:r w:rsidR="00761EA1" w:rsidRPr="00761EA1">
        <w:rPr>
          <w:rFonts w:ascii="Times New Roman" w:hAnsi="Times New Roman" w:cs="Times New Roman"/>
          <w:sz w:val="24"/>
          <w:szCs w:val="24"/>
        </w:rPr>
        <w:t xml:space="preserve"> </w:t>
      </w:r>
    </w:p>
    <w:p w:rsidR="00761EA1" w:rsidRPr="00232B51" w:rsidRDefault="00761EA1" w:rsidP="00761EA1">
      <w:pPr>
        <w:pStyle w:val="ListParagraph"/>
        <w:numPr>
          <w:ilvl w:val="0"/>
          <w:numId w:val="10"/>
        </w:numPr>
        <w:jc w:val="both"/>
        <w:rPr>
          <w:rFonts w:ascii="Times New Roman" w:hAnsi="Times New Roman" w:cs="Times New Roman"/>
          <w:sz w:val="24"/>
          <w:szCs w:val="24"/>
        </w:rPr>
      </w:pPr>
      <w:r w:rsidRPr="00232B51">
        <w:rPr>
          <w:rFonts w:ascii="Times New Roman" w:hAnsi="Times New Roman" w:cs="Times New Roman"/>
          <w:sz w:val="24"/>
          <w:szCs w:val="24"/>
        </w:rPr>
        <w:t>Identifikasi Kriteria Inklusi</w:t>
      </w:r>
    </w:p>
    <w:p w:rsidR="00761EA1" w:rsidRPr="00761EA1" w:rsidRDefault="00761EA1" w:rsidP="00230F02">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3. Kriteria Inklusi Responden</w:t>
      </w:r>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272526" w:rsidTr="005418A8">
        <w:trPr>
          <w:trHeight w:val="248"/>
        </w:trPr>
        <w:tc>
          <w:tcPr>
            <w:tcW w:w="567" w:type="dxa"/>
            <w:vMerge w:val="restart"/>
            <w:tcBorders>
              <w:top w:val="single" w:sz="4" w:space="0" w:color="auto"/>
              <w:bottom w:val="nil"/>
            </w:tcBorders>
            <w:vAlign w:val="center"/>
            <w:hideMark/>
          </w:tcPr>
          <w:p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No</w:t>
            </w:r>
          </w:p>
        </w:tc>
        <w:tc>
          <w:tcPr>
            <w:tcW w:w="4633" w:type="dxa"/>
            <w:vMerge w:val="restart"/>
            <w:tcBorders>
              <w:top w:val="single" w:sz="4" w:space="0" w:color="auto"/>
              <w:bottom w:val="nil"/>
            </w:tcBorders>
            <w:vAlign w:val="center"/>
            <w:hideMark/>
          </w:tcPr>
          <w:p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Kriteria Inklusi</w:t>
            </w:r>
          </w:p>
        </w:tc>
        <w:tc>
          <w:tcPr>
            <w:tcW w:w="1701" w:type="dxa"/>
            <w:gridSpan w:val="2"/>
            <w:tcBorders>
              <w:top w:val="single" w:sz="4" w:space="0" w:color="auto"/>
              <w:bottom w:val="single" w:sz="4" w:space="0" w:color="auto"/>
            </w:tcBorders>
            <w:vAlign w:val="center"/>
            <w:hideMark/>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Nn.A</w:t>
            </w:r>
          </w:p>
        </w:tc>
        <w:tc>
          <w:tcPr>
            <w:tcW w:w="1559" w:type="dxa"/>
            <w:gridSpan w:val="2"/>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Nn.F</w:t>
            </w:r>
          </w:p>
        </w:tc>
      </w:tr>
      <w:tr w:rsidR="00197678" w:rsidRPr="00272526" w:rsidTr="005418A8">
        <w:trPr>
          <w:trHeight w:val="55"/>
        </w:trPr>
        <w:tc>
          <w:tcPr>
            <w:tcW w:w="567" w:type="dxa"/>
            <w:vMerge/>
            <w:tcBorders>
              <w:top w:val="nil"/>
              <w:bottom w:val="single" w:sz="4" w:space="0" w:color="auto"/>
            </w:tcBorders>
            <w:vAlign w:val="center"/>
          </w:tcPr>
          <w:p w:rsidR="00197678" w:rsidRPr="00272526" w:rsidRDefault="00197678" w:rsidP="005418A8">
            <w:pPr>
              <w:spacing w:after="0" w:line="240" w:lineRule="auto"/>
              <w:rPr>
                <w:rFonts w:ascii="Times New Roman" w:eastAsia="Calibri" w:hAnsi="Times New Roman" w:cs="Times New Roman"/>
                <w:b/>
                <w:bCs/>
              </w:rPr>
            </w:pPr>
          </w:p>
        </w:tc>
        <w:tc>
          <w:tcPr>
            <w:tcW w:w="4633" w:type="dxa"/>
            <w:vMerge/>
            <w:tcBorders>
              <w:top w:val="nil"/>
              <w:bottom w:val="single" w:sz="4" w:space="0" w:color="auto"/>
            </w:tcBorders>
            <w:vAlign w:val="center"/>
          </w:tcPr>
          <w:p w:rsidR="00197678" w:rsidRPr="00272526" w:rsidRDefault="00197678" w:rsidP="005418A8">
            <w:pPr>
              <w:spacing w:after="0" w:line="240" w:lineRule="auto"/>
              <w:rPr>
                <w:rFonts w:ascii="Times New Roman" w:eastAsia="Calibri" w:hAnsi="Times New Roman" w:cs="Times New Roman"/>
                <w:b/>
                <w:bCs/>
              </w:rPr>
            </w:pPr>
          </w:p>
        </w:tc>
        <w:tc>
          <w:tcPr>
            <w:tcW w:w="709"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992"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c>
          <w:tcPr>
            <w:tcW w:w="709"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850"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r>
      <w:tr w:rsidR="00197678" w:rsidRPr="00272526" w:rsidTr="005418A8">
        <w:trPr>
          <w:trHeight w:val="397"/>
        </w:trPr>
        <w:tc>
          <w:tcPr>
            <w:tcW w:w="567" w:type="dxa"/>
            <w:tcBorders>
              <w:top w:val="single" w:sz="4" w:space="0" w:color="auto"/>
            </w:tcBorders>
            <w:vAlign w:val="center"/>
            <w:hideMark/>
          </w:tcPr>
          <w:p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1.</w:t>
            </w:r>
          </w:p>
        </w:tc>
        <w:tc>
          <w:tcPr>
            <w:tcW w:w="4633" w:type="dxa"/>
            <w:tcBorders>
              <w:top w:val="single" w:sz="4" w:space="0" w:color="auto"/>
            </w:tcBorders>
            <w:vAlign w:val="center"/>
            <w:hideMark/>
          </w:tcPr>
          <w:p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Remaja putri yang masih berpendidikan SMA/SMK</w:t>
            </w:r>
          </w:p>
        </w:tc>
        <w:tc>
          <w:tcPr>
            <w:tcW w:w="709" w:type="dxa"/>
            <w:tcBorders>
              <w:top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top w:val="single" w:sz="4" w:space="0" w:color="auto"/>
            </w:tcBorders>
            <w:vAlign w:val="center"/>
          </w:tcPr>
          <w:p w:rsidR="00197678" w:rsidRPr="00272526" w:rsidRDefault="00197678" w:rsidP="005418A8">
            <w:pPr>
              <w:spacing w:after="0" w:line="240" w:lineRule="auto"/>
              <w:rPr>
                <w:rFonts w:ascii="Times New Roman" w:eastAsia="Calibri" w:hAnsi="Times New Roman" w:cs="Times New Roman"/>
              </w:rPr>
            </w:pPr>
          </w:p>
        </w:tc>
        <w:tc>
          <w:tcPr>
            <w:tcW w:w="709" w:type="dxa"/>
            <w:tcBorders>
              <w:top w:val="single" w:sz="4" w:space="0" w:color="auto"/>
            </w:tcBorders>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top w:val="single" w:sz="4" w:space="0" w:color="auto"/>
            </w:tcBorders>
          </w:tcPr>
          <w:p w:rsidR="00197678" w:rsidRPr="00272526" w:rsidRDefault="00197678" w:rsidP="005418A8">
            <w:pPr>
              <w:spacing w:after="0" w:line="240" w:lineRule="auto"/>
              <w:rPr>
                <w:rFonts w:ascii="Times New Roman" w:eastAsia="Calibri" w:hAnsi="Times New Roman" w:cs="Times New Roman"/>
              </w:rPr>
            </w:pPr>
          </w:p>
        </w:tc>
      </w:tr>
      <w:tr w:rsidR="00197678" w:rsidRPr="00272526" w:rsidTr="005418A8">
        <w:trPr>
          <w:trHeight w:val="532"/>
        </w:trPr>
        <w:tc>
          <w:tcPr>
            <w:tcW w:w="567" w:type="dxa"/>
            <w:vAlign w:val="center"/>
            <w:hideMark/>
          </w:tcPr>
          <w:p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2.</w:t>
            </w:r>
          </w:p>
        </w:tc>
        <w:tc>
          <w:tcPr>
            <w:tcW w:w="4633" w:type="dxa"/>
            <w:vAlign w:val="center"/>
            <w:hideMark/>
          </w:tcPr>
          <w:p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Menderita Anemia (dengan Hb &lt;12) yang mengalami intoleransi aktivitas</w:t>
            </w:r>
          </w:p>
        </w:tc>
        <w:tc>
          <w:tcPr>
            <w:tcW w:w="709" w:type="dxa"/>
            <w:vAlign w:val="center"/>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vAlign w:val="center"/>
          </w:tcPr>
          <w:p w:rsidR="00197678" w:rsidRPr="00272526" w:rsidRDefault="00197678" w:rsidP="005418A8">
            <w:pPr>
              <w:spacing w:after="0" w:line="240" w:lineRule="auto"/>
              <w:rPr>
                <w:rFonts w:ascii="Times New Roman" w:eastAsia="Calibri" w:hAnsi="Times New Roman" w:cs="Times New Roman"/>
              </w:rPr>
            </w:pPr>
          </w:p>
        </w:tc>
        <w:tc>
          <w:tcPr>
            <w:tcW w:w="709" w:type="dxa"/>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Pr>
          <w:p w:rsidR="00197678" w:rsidRPr="00272526" w:rsidRDefault="00197678" w:rsidP="005418A8">
            <w:pPr>
              <w:spacing w:after="0" w:line="240" w:lineRule="auto"/>
              <w:rPr>
                <w:rFonts w:ascii="Times New Roman" w:eastAsia="Calibri" w:hAnsi="Times New Roman" w:cs="Times New Roman"/>
              </w:rPr>
            </w:pPr>
          </w:p>
        </w:tc>
      </w:tr>
      <w:tr w:rsidR="00197678" w:rsidRPr="00272526" w:rsidTr="005418A8">
        <w:trPr>
          <w:trHeight w:val="399"/>
        </w:trPr>
        <w:tc>
          <w:tcPr>
            <w:tcW w:w="567" w:type="dxa"/>
            <w:tcBorders>
              <w:bottom w:val="single" w:sz="4" w:space="0" w:color="auto"/>
            </w:tcBorders>
            <w:vAlign w:val="center"/>
            <w:hideMark/>
          </w:tcPr>
          <w:p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3.</w:t>
            </w:r>
          </w:p>
        </w:tc>
        <w:tc>
          <w:tcPr>
            <w:tcW w:w="4633" w:type="dxa"/>
            <w:tcBorders>
              <w:bottom w:val="single" w:sz="4" w:space="0" w:color="auto"/>
            </w:tcBorders>
            <w:vAlign w:val="center"/>
            <w:hideMark/>
          </w:tcPr>
          <w:p w:rsidR="00197678" w:rsidRPr="00272526" w:rsidRDefault="00197678" w:rsidP="005418A8">
            <w:pPr>
              <w:spacing w:after="0" w:line="240" w:lineRule="auto"/>
              <w:jc w:val="both"/>
              <w:rPr>
                <w:rFonts w:ascii="Times New Roman" w:eastAsia="Calibri" w:hAnsi="Times New Roman" w:cs="Times New Roman"/>
              </w:rPr>
            </w:pPr>
            <w:r w:rsidRPr="00272526">
              <w:rPr>
                <w:rFonts w:ascii="Times New Roman" w:eastAsia="Calibri" w:hAnsi="Times New Roman" w:cs="Times New Roman"/>
              </w:rPr>
              <w:t>Tidak sedang menstruasi</w:t>
            </w:r>
          </w:p>
        </w:tc>
        <w:tc>
          <w:tcPr>
            <w:tcW w:w="709" w:type="dxa"/>
            <w:tcBorders>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bottom w:val="single" w:sz="4" w:space="0" w:color="auto"/>
            </w:tcBorders>
            <w:vAlign w:val="center"/>
          </w:tcPr>
          <w:p w:rsidR="00197678" w:rsidRPr="00272526" w:rsidRDefault="00197678" w:rsidP="005418A8">
            <w:pPr>
              <w:spacing w:after="0" w:line="240" w:lineRule="auto"/>
              <w:rPr>
                <w:rFonts w:ascii="Times New Roman" w:eastAsia="Calibri" w:hAnsi="Times New Roman" w:cs="Times New Roman"/>
              </w:rPr>
            </w:pPr>
          </w:p>
        </w:tc>
        <w:tc>
          <w:tcPr>
            <w:tcW w:w="709" w:type="dxa"/>
            <w:tcBorders>
              <w:bottom w:val="single" w:sz="4" w:space="0" w:color="auto"/>
            </w:tcBorders>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bottom w:val="single" w:sz="4" w:space="0" w:color="auto"/>
            </w:tcBorders>
          </w:tcPr>
          <w:p w:rsidR="00197678" w:rsidRPr="00272526" w:rsidRDefault="00197678" w:rsidP="005418A8">
            <w:pPr>
              <w:spacing w:after="0" w:line="240" w:lineRule="auto"/>
              <w:rPr>
                <w:rFonts w:ascii="Times New Roman" w:eastAsia="Calibri" w:hAnsi="Times New Roman" w:cs="Times New Roman"/>
              </w:rPr>
            </w:pPr>
          </w:p>
        </w:tc>
      </w:tr>
      <w:tr w:rsidR="00197678" w:rsidRPr="00272526" w:rsidTr="005418A8">
        <w:trPr>
          <w:trHeight w:val="263"/>
        </w:trPr>
        <w:tc>
          <w:tcPr>
            <w:tcW w:w="5200" w:type="dxa"/>
            <w:gridSpan w:val="2"/>
            <w:tcBorders>
              <w:top w:val="single" w:sz="4" w:space="0" w:color="auto"/>
              <w:bottom w:val="single" w:sz="4" w:space="0" w:color="auto"/>
            </w:tcBorders>
            <w:vAlign w:val="center"/>
            <w:hideMark/>
          </w:tcPr>
          <w:p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Jumlah</w:t>
            </w:r>
          </w:p>
        </w:tc>
        <w:tc>
          <w:tcPr>
            <w:tcW w:w="709"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992" w:type="dxa"/>
            <w:tcBorders>
              <w:top w:val="single" w:sz="4" w:space="0" w:color="auto"/>
              <w:bottom w:val="single" w:sz="4" w:space="0" w:color="auto"/>
            </w:tcBorders>
            <w:vAlign w:val="center"/>
          </w:tcPr>
          <w:p w:rsidR="00197678" w:rsidRPr="00272526" w:rsidRDefault="00197678" w:rsidP="005418A8">
            <w:pPr>
              <w:spacing w:after="0" w:line="240" w:lineRule="auto"/>
              <w:jc w:val="center"/>
              <w:rPr>
                <w:rFonts w:ascii="Times New Roman" w:eastAsia="Calibri" w:hAnsi="Times New Roman" w:cs="Times New Roman"/>
              </w:rPr>
            </w:pPr>
          </w:p>
        </w:tc>
        <w:tc>
          <w:tcPr>
            <w:tcW w:w="709" w:type="dxa"/>
            <w:tcBorders>
              <w:top w:val="single" w:sz="4" w:space="0" w:color="auto"/>
              <w:bottom w:val="single" w:sz="4" w:space="0" w:color="auto"/>
            </w:tcBorders>
          </w:tcPr>
          <w:p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850" w:type="dxa"/>
            <w:tcBorders>
              <w:top w:val="single" w:sz="4" w:space="0" w:color="auto"/>
              <w:bottom w:val="single" w:sz="4" w:space="0" w:color="auto"/>
            </w:tcBorders>
          </w:tcPr>
          <w:p w:rsidR="00197678" w:rsidRPr="00272526" w:rsidRDefault="00197678" w:rsidP="005418A8">
            <w:pPr>
              <w:spacing w:after="0" w:line="240" w:lineRule="auto"/>
              <w:rPr>
                <w:rFonts w:ascii="Times New Roman" w:eastAsia="Calibri" w:hAnsi="Times New Roman" w:cs="Times New Roman"/>
              </w:rPr>
            </w:pPr>
          </w:p>
        </w:tc>
      </w:tr>
    </w:tbl>
    <w:p w:rsidR="00197678" w:rsidRDefault="00197678" w:rsidP="00761EA1">
      <w:pPr>
        <w:rPr>
          <w:rFonts w:ascii="Times New Roman" w:hAnsi="Times New Roman" w:cs="Times New Roman"/>
          <w:sz w:val="24"/>
          <w:szCs w:val="24"/>
        </w:rPr>
      </w:pPr>
    </w:p>
    <w:p w:rsidR="00761EA1" w:rsidRPr="00761EA1" w:rsidRDefault="00761EA1" w:rsidP="00197678">
      <w:pPr>
        <w:jc w:val="both"/>
        <w:rPr>
          <w:rFonts w:ascii="Times New Roman" w:hAnsi="Times New Roman" w:cs="Times New Roman"/>
          <w:sz w:val="24"/>
          <w:szCs w:val="24"/>
        </w:rPr>
      </w:pPr>
      <w:r w:rsidRPr="00761EA1">
        <w:rPr>
          <w:rFonts w:ascii="Times New Roman" w:hAnsi="Times New Roman" w:cs="Times New Roman"/>
          <w:sz w:val="24"/>
          <w:szCs w:val="24"/>
        </w:rPr>
        <w:t>Kedua responden memenuhi seluruh kriteria inklusi penelitian. Mereka adalah remaja putri dengan kadar Hb rendah dan menunjukkan intoleransi aktivitas</w:t>
      </w:r>
      <w:r w:rsidR="00232B51">
        <w:rPr>
          <w:rFonts w:ascii="Times New Roman" w:hAnsi="Times New Roman" w:cs="Times New Roman"/>
          <w:sz w:val="24"/>
          <w:szCs w:val="24"/>
        </w:rPr>
        <w:t>, serta tidak sedang menstruasi.</w:t>
      </w:r>
      <w:r w:rsidRPr="00761EA1">
        <w:rPr>
          <w:rFonts w:ascii="Times New Roman" w:hAnsi="Times New Roman" w:cs="Times New Roman"/>
          <w:sz w:val="24"/>
          <w:szCs w:val="24"/>
        </w:rPr>
        <w:t xml:space="preserve"> Ini menunjukkan validitas data intervensi yang diberikan.</w:t>
      </w:r>
    </w:p>
    <w:p w:rsidR="00761EA1" w:rsidRPr="00232B51" w:rsidRDefault="00761EA1" w:rsidP="00761EA1">
      <w:pPr>
        <w:pStyle w:val="ListParagraph"/>
        <w:numPr>
          <w:ilvl w:val="0"/>
          <w:numId w:val="10"/>
        </w:numPr>
        <w:rPr>
          <w:rFonts w:ascii="Times New Roman" w:hAnsi="Times New Roman" w:cs="Times New Roman"/>
          <w:sz w:val="24"/>
          <w:szCs w:val="24"/>
        </w:rPr>
      </w:pPr>
      <w:r w:rsidRPr="00197678">
        <w:rPr>
          <w:rFonts w:ascii="Times New Roman" w:hAnsi="Times New Roman" w:cs="Times New Roman"/>
          <w:sz w:val="24"/>
          <w:szCs w:val="24"/>
        </w:rPr>
        <w:t>Evaluasi Tole</w:t>
      </w:r>
      <w:r w:rsidR="00197678">
        <w:rPr>
          <w:rFonts w:ascii="Times New Roman" w:hAnsi="Times New Roman" w:cs="Times New Roman"/>
          <w:sz w:val="24"/>
          <w:szCs w:val="24"/>
        </w:rPr>
        <w:t>ransi Aktivitas Selama 14 Hari</w:t>
      </w:r>
    </w:p>
    <w:p w:rsidR="006648BB" w:rsidRPr="00761EA1" w:rsidRDefault="00761EA1" w:rsidP="006648BB">
      <w:pPr>
        <w:jc w:val="center"/>
        <w:rPr>
          <w:rFonts w:ascii="Times New Roman" w:hAnsi="Times New Roman" w:cs="Times New Roman"/>
          <w:sz w:val="24"/>
          <w:szCs w:val="24"/>
        </w:rPr>
      </w:pPr>
      <w:r w:rsidRPr="00761EA1">
        <w:rPr>
          <w:rFonts w:ascii="Times New Roman" w:hAnsi="Times New Roman" w:cs="Times New Roman"/>
          <w:sz w:val="24"/>
          <w:szCs w:val="24"/>
        </w:rPr>
        <w:t>Tabel 4. Penilaian Toleransi A</w:t>
      </w:r>
      <w:r w:rsidR="00197678">
        <w:rPr>
          <w:rFonts w:ascii="Times New Roman" w:hAnsi="Times New Roman" w:cs="Times New Roman"/>
          <w:sz w:val="24"/>
          <w:szCs w:val="24"/>
        </w:rPr>
        <w:t xml:space="preserve">ktivitas Harian Responden </w:t>
      </w:r>
      <w:proofErr w:type="gramStart"/>
      <w:r w:rsidR="00197678">
        <w:rPr>
          <w:rFonts w:ascii="Times New Roman" w:hAnsi="Times New Roman" w:cs="Times New Roman"/>
          <w:sz w:val="24"/>
          <w:szCs w:val="24"/>
        </w:rPr>
        <w:t>Nn.A</w:t>
      </w:r>
      <w:proofErr w:type="gramEnd"/>
    </w:p>
    <w:tbl>
      <w:tblPr>
        <w:tblW w:w="9215" w:type="dxa"/>
        <w:tblInd w:w="-289" w:type="dxa"/>
        <w:tblBorders>
          <w:top w:val="single" w:sz="4" w:space="0" w:color="auto"/>
          <w:bottom w:val="single" w:sz="4" w:space="0" w:color="auto"/>
        </w:tblBorders>
        <w:tblLayout w:type="fixed"/>
        <w:tblLook w:val="04A0" w:firstRow="1" w:lastRow="0" w:firstColumn="1" w:lastColumn="0" w:noHBand="0" w:noVBand="1"/>
      </w:tblPr>
      <w:tblGrid>
        <w:gridCol w:w="426"/>
        <w:gridCol w:w="992"/>
        <w:gridCol w:w="426"/>
        <w:gridCol w:w="567"/>
        <w:gridCol w:w="567"/>
        <w:gridCol w:w="567"/>
        <w:gridCol w:w="567"/>
        <w:gridCol w:w="567"/>
        <w:gridCol w:w="567"/>
        <w:gridCol w:w="567"/>
        <w:gridCol w:w="567"/>
        <w:gridCol w:w="567"/>
        <w:gridCol w:w="567"/>
        <w:gridCol w:w="567"/>
        <w:gridCol w:w="567"/>
        <w:gridCol w:w="567"/>
      </w:tblGrid>
      <w:tr w:rsidR="006648BB" w:rsidRPr="005418A8" w:rsidTr="0045305C">
        <w:trPr>
          <w:trHeight w:val="251"/>
        </w:trPr>
        <w:tc>
          <w:tcPr>
            <w:tcW w:w="426" w:type="dxa"/>
            <w:vMerge w:val="restart"/>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No</w:t>
            </w:r>
          </w:p>
        </w:tc>
        <w:tc>
          <w:tcPr>
            <w:tcW w:w="992" w:type="dxa"/>
            <w:vMerge w:val="restart"/>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Indikator</w:t>
            </w:r>
          </w:p>
        </w:tc>
        <w:tc>
          <w:tcPr>
            <w:tcW w:w="7797" w:type="dxa"/>
            <w:gridSpan w:val="14"/>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sv-SE"/>
              </w:rPr>
            </w:pPr>
            <w:r w:rsidRPr="005418A8">
              <w:rPr>
                <w:rFonts w:ascii="Times New Roman" w:eastAsia="Calibri" w:hAnsi="Times New Roman" w:cs="Times New Roman"/>
                <w:lang w:val="sv-SE"/>
              </w:rPr>
              <w:t>Nama: Nn.A                        Waktu: pagi</w:t>
            </w:r>
          </w:p>
        </w:tc>
      </w:tr>
      <w:tr w:rsidR="00230F02" w:rsidRPr="005418A8" w:rsidTr="0045305C">
        <w:tc>
          <w:tcPr>
            <w:tcW w:w="426" w:type="dxa"/>
            <w:vMerge/>
            <w:tcBorders>
              <w:top w:val="single" w:sz="4" w:space="0" w:color="auto"/>
              <w:bottom w:val="single" w:sz="4" w:space="0" w:color="auto"/>
            </w:tcBorders>
            <w:vAlign w:val="center"/>
            <w:hideMark/>
          </w:tcPr>
          <w:p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992" w:type="dxa"/>
            <w:vMerge/>
            <w:tcBorders>
              <w:top w:val="single" w:sz="4" w:space="0" w:color="auto"/>
              <w:bottom w:val="single" w:sz="4" w:space="0" w:color="auto"/>
            </w:tcBorders>
            <w:vAlign w:val="center"/>
            <w:hideMark/>
          </w:tcPr>
          <w:p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426"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H1</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H2</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H3</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H4</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5</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6</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7</w:t>
            </w:r>
          </w:p>
        </w:tc>
        <w:tc>
          <w:tcPr>
            <w:tcW w:w="567" w:type="dxa"/>
            <w:tcBorders>
              <w:top w:val="single" w:sz="4" w:space="0" w:color="auto"/>
              <w:bottom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8</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H9</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H10</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H11</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H12</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H13</w:t>
            </w:r>
          </w:p>
        </w:tc>
        <w:tc>
          <w:tcPr>
            <w:tcW w:w="567" w:type="dxa"/>
            <w:tcBorders>
              <w:top w:val="single" w:sz="4" w:space="0" w:color="auto"/>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H14</w:t>
            </w:r>
          </w:p>
        </w:tc>
      </w:tr>
      <w:tr w:rsidR="00230F02" w:rsidRPr="005418A8" w:rsidTr="0045305C">
        <w:trPr>
          <w:trHeight w:val="1991"/>
        </w:trPr>
        <w:tc>
          <w:tcPr>
            <w:tcW w:w="426" w:type="dxa"/>
            <w:tcBorders>
              <w:top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Kemudahan dalam melakukan aktivitas sehari-hari</w:t>
            </w:r>
          </w:p>
        </w:tc>
        <w:tc>
          <w:tcPr>
            <w:tcW w:w="426"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hideMark/>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Kecepatan berjalan</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hideMark/>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Kekuata tubuh bagian atas</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Borders>
              <w:bottom w:val="nil"/>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nil"/>
            </w:tcBorders>
            <w:vAlign w:val="center"/>
            <w:hideMark/>
          </w:tcPr>
          <w:p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rPr>
              <w:t>Kekuata tubuh bagian bawah</w:t>
            </w:r>
          </w:p>
        </w:tc>
        <w:tc>
          <w:tcPr>
            <w:tcW w:w="426"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tcBorders>
              <w:top w:val="nil"/>
              <w:bottom w:val="nil"/>
            </w:tcBorders>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Toleransi dalam </w:t>
            </w:r>
            <w:r w:rsidRPr="005418A8">
              <w:rPr>
                <w:rFonts w:ascii="Times New Roman" w:eastAsia="Calibri" w:hAnsi="Times New Roman" w:cs="Times New Roman"/>
              </w:rPr>
              <w:lastRenderedPageBreak/>
              <w:t>menaiki tangga</w:t>
            </w:r>
          </w:p>
        </w:tc>
        <w:tc>
          <w:tcPr>
            <w:tcW w:w="426"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lastRenderedPageBreak/>
              <w:t>2</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rsidTr="0045305C">
        <w:tc>
          <w:tcPr>
            <w:tcW w:w="9215" w:type="dxa"/>
            <w:gridSpan w:val="16"/>
            <w:tcBorders>
              <w:top w:val="nil"/>
              <w:bottom w:val="single" w:sz="4" w:space="0" w:color="auto"/>
              <w:right w:val="nil"/>
            </w:tcBorders>
            <w:vAlign w:val="center"/>
            <w:hideMark/>
          </w:tcPr>
          <w:p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lastRenderedPageBreak/>
              <w:t xml:space="preserve">Keterangan </w:t>
            </w:r>
          </w:p>
          <w:p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1 : </w:t>
            </w:r>
            <w:r w:rsidRPr="005418A8">
              <w:rPr>
                <w:rFonts w:ascii="Times New Roman" w:eastAsia="Calibri" w:hAnsi="Times New Roman" w:cs="Times New Roman"/>
                <w:lang w:val="sv-SE"/>
              </w:rPr>
              <w:t>menurun</w:t>
            </w:r>
          </w:p>
          <w:p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2 : cukup </w:t>
            </w:r>
            <w:r w:rsidRPr="005418A8">
              <w:rPr>
                <w:rFonts w:ascii="Times New Roman" w:eastAsia="Calibri" w:hAnsi="Times New Roman" w:cs="Times New Roman"/>
                <w:lang w:val="sv-SE"/>
              </w:rPr>
              <w:t>menurun</w:t>
            </w:r>
          </w:p>
          <w:p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 Sedang</w:t>
            </w:r>
          </w:p>
          <w:p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4 : Cukup men</w:t>
            </w:r>
            <w:r w:rsidRPr="005418A8">
              <w:rPr>
                <w:rFonts w:ascii="Times New Roman" w:eastAsia="Calibri" w:hAnsi="Times New Roman" w:cs="Times New Roman"/>
                <w:lang w:val="sv-SE"/>
              </w:rPr>
              <w:t>ingkat</w:t>
            </w:r>
          </w:p>
          <w:p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 Men</w:t>
            </w:r>
            <w:r w:rsidRPr="005418A8">
              <w:rPr>
                <w:rFonts w:ascii="Times New Roman" w:eastAsia="Calibri" w:hAnsi="Times New Roman" w:cs="Times New Roman"/>
              </w:rPr>
              <w:t>ingkat</w:t>
            </w:r>
          </w:p>
        </w:tc>
      </w:tr>
      <w:tr w:rsidR="00230F02" w:rsidRPr="005418A8" w:rsidTr="0045305C">
        <w:tc>
          <w:tcPr>
            <w:tcW w:w="426" w:type="dxa"/>
            <w:tcBorders>
              <w:top w:val="single" w:sz="4" w:space="0" w:color="auto"/>
            </w:tcBorders>
            <w:hideMark/>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Keluhan Lelah</w:t>
            </w:r>
          </w:p>
        </w:tc>
        <w:tc>
          <w:tcPr>
            <w:tcW w:w="426"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 xml:space="preserve">5 </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saat aktivitas</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setelah aktivitas</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Perasaan lemah</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Sianosis</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rsidTr="0045305C">
        <w:tc>
          <w:tcPr>
            <w:tcW w:w="9215" w:type="dxa"/>
            <w:gridSpan w:val="16"/>
          </w:tcPr>
          <w:p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Keterangan:</w:t>
            </w:r>
          </w:p>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1 : Me</w:t>
            </w:r>
            <w:r w:rsidRPr="005418A8">
              <w:rPr>
                <w:rFonts w:ascii="Times New Roman" w:eastAsia="Calibri" w:hAnsi="Times New Roman" w:cs="Times New Roman"/>
                <w:lang w:val="sv-SE"/>
              </w:rPr>
              <w:t>ningkat</w:t>
            </w:r>
          </w:p>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2 : Cukup Me</w:t>
            </w:r>
            <w:r w:rsidRPr="005418A8">
              <w:rPr>
                <w:rFonts w:ascii="Times New Roman" w:eastAsia="Calibri" w:hAnsi="Times New Roman" w:cs="Times New Roman"/>
                <w:lang w:val="sv-SE"/>
              </w:rPr>
              <w:t>ningkat</w:t>
            </w:r>
          </w:p>
          <w:p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Sedang</w:t>
            </w:r>
          </w:p>
          <w:p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4 : Cukup Me</w:t>
            </w:r>
            <w:r w:rsidRPr="005418A8">
              <w:rPr>
                <w:rFonts w:ascii="Times New Roman" w:eastAsia="Calibri" w:hAnsi="Times New Roman" w:cs="Times New Roman"/>
                <w:lang w:val="sv-SE"/>
              </w:rPr>
              <w:t>nurun</w:t>
            </w:r>
            <w:r w:rsidRPr="005418A8">
              <w:rPr>
                <w:rFonts w:ascii="Times New Roman" w:eastAsia="Calibri" w:hAnsi="Times New Roman" w:cs="Times New Roman"/>
                <w:lang w:val="id-ID"/>
              </w:rPr>
              <w:t xml:space="preserve"> </w:t>
            </w:r>
          </w:p>
          <w:p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Me</w:t>
            </w:r>
            <w:r w:rsidRPr="005418A8">
              <w:rPr>
                <w:rFonts w:ascii="Times New Roman" w:eastAsia="Calibri" w:hAnsi="Times New Roman" w:cs="Times New Roman"/>
              </w:rPr>
              <w:t>nurun</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nadi</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Warna Kulit </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rsidTr="0045305C">
        <w:tc>
          <w:tcPr>
            <w:tcW w:w="426"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single" w:sz="4" w:space="0" w:color="auto"/>
            </w:tcBorders>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napas</w:t>
            </w:r>
          </w:p>
        </w:tc>
        <w:tc>
          <w:tcPr>
            <w:tcW w:w="426"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rsidTr="0045305C">
        <w:tc>
          <w:tcPr>
            <w:tcW w:w="9215" w:type="dxa"/>
            <w:gridSpan w:val="16"/>
            <w:tcBorders>
              <w:top w:val="single" w:sz="4" w:space="0" w:color="auto"/>
              <w:bottom w:val="single" w:sz="4" w:space="0" w:color="auto"/>
            </w:tcBorders>
          </w:tcPr>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Keterangan untuk 6 :</w:t>
            </w:r>
          </w:p>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1 : Meningkat</w:t>
            </w:r>
          </w:p>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2 : Cukup Meningkat</w:t>
            </w:r>
          </w:p>
          <w:p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 xml:space="preserve">3: Sedang </w:t>
            </w:r>
          </w:p>
          <w:p w:rsidR="006648BB" w:rsidRPr="005418A8" w:rsidRDefault="006648BB" w:rsidP="005418A8">
            <w:pPr>
              <w:spacing w:after="0" w:line="240" w:lineRule="auto"/>
              <w:rPr>
                <w:rFonts w:ascii="Times New Roman" w:eastAsia="Calibri" w:hAnsi="Times New Roman" w:cs="Times New Roman"/>
              </w:rPr>
            </w:pPr>
            <w:proofErr w:type="gramStart"/>
            <w:r w:rsidRPr="005418A8">
              <w:rPr>
                <w:rFonts w:ascii="Times New Roman" w:eastAsia="Calibri" w:hAnsi="Times New Roman" w:cs="Times New Roman"/>
              </w:rPr>
              <w:t>4 :</w:t>
            </w:r>
            <w:proofErr w:type="gramEnd"/>
            <w:r w:rsidRPr="005418A8">
              <w:rPr>
                <w:rFonts w:ascii="Times New Roman" w:eastAsia="Calibri" w:hAnsi="Times New Roman" w:cs="Times New Roman"/>
              </w:rPr>
              <w:t xml:space="preserve"> Cukup Menurun </w:t>
            </w:r>
          </w:p>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5: Menurun</w:t>
            </w:r>
          </w:p>
        </w:tc>
      </w:tr>
      <w:tr w:rsidR="00230F02" w:rsidRPr="005418A8" w:rsidTr="0045305C">
        <w:tc>
          <w:tcPr>
            <w:tcW w:w="426"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136/95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110/75</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117/80</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114/76</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121/76</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124/80</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116/78</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121/79</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120/74</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120/80</w:t>
            </w:r>
          </w:p>
        </w:tc>
        <w:tc>
          <w:tcPr>
            <w:tcW w:w="567" w:type="dxa"/>
            <w:tcBorders>
              <w:top w:val="single" w:sz="4" w:space="0" w:color="auto"/>
            </w:tcBorders>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121/81</w:t>
            </w:r>
          </w:p>
        </w:tc>
      </w:tr>
      <w:tr w:rsidR="00230F02" w:rsidRPr="005418A8" w:rsidTr="0045305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Nadi </w:t>
            </w:r>
          </w:p>
        </w:tc>
        <w:tc>
          <w:tcPr>
            <w:tcW w:w="426"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105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95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76</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74</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85</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87</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r>
    </w:tbl>
    <w:p w:rsidR="006648BB" w:rsidRDefault="006648BB" w:rsidP="006648BB">
      <w:pPr>
        <w:spacing w:after="0" w:line="480" w:lineRule="auto"/>
        <w:rPr>
          <w:rFonts w:ascii="Times New Roman" w:hAnsi="Times New Roman" w:cs="Times New Roman"/>
          <w:sz w:val="24"/>
          <w:szCs w:val="24"/>
        </w:rPr>
      </w:pPr>
    </w:p>
    <w:p w:rsidR="0045305C" w:rsidRDefault="0045305C" w:rsidP="006648BB">
      <w:pPr>
        <w:spacing w:after="0" w:line="480" w:lineRule="auto"/>
        <w:rPr>
          <w:rFonts w:ascii="Times New Roman" w:hAnsi="Times New Roman" w:cs="Times New Roman"/>
          <w:sz w:val="24"/>
          <w:szCs w:val="24"/>
        </w:rPr>
      </w:pPr>
    </w:p>
    <w:tbl>
      <w:tblPr>
        <w:tblStyle w:val="TableGrid1"/>
        <w:tblW w:w="9311" w:type="dxa"/>
        <w:jc w:val="center"/>
        <w:tblLayout w:type="fixed"/>
        <w:tblLook w:val="04A0" w:firstRow="1" w:lastRow="0" w:firstColumn="1" w:lastColumn="0" w:noHBand="0" w:noVBand="1"/>
      </w:tblPr>
      <w:tblGrid>
        <w:gridCol w:w="412"/>
        <w:gridCol w:w="990"/>
        <w:gridCol w:w="538"/>
        <w:gridCol w:w="567"/>
        <w:gridCol w:w="567"/>
        <w:gridCol w:w="567"/>
        <w:gridCol w:w="567"/>
        <w:gridCol w:w="567"/>
        <w:gridCol w:w="567"/>
        <w:gridCol w:w="567"/>
        <w:gridCol w:w="567"/>
        <w:gridCol w:w="567"/>
        <w:gridCol w:w="567"/>
        <w:gridCol w:w="567"/>
        <w:gridCol w:w="567"/>
        <w:gridCol w:w="567"/>
      </w:tblGrid>
      <w:tr w:rsidR="006648BB" w:rsidRPr="00580745" w:rsidTr="0045305C">
        <w:trPr>
          <w:trHeight w:val="251"/>
          <w:jc w:val="center"/>
        </w:trPr>
        <w:tc>
          <w:tcPr>
            <w:tcW w:w="412"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lastRenderedPageBreak/>
              <w:t>No</w:t>
            </w:r>
          </w:p>
        </w:tc>
        <w:tc>
          <w:tcPr>
            <w:tcW w:w="990"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Nn.A        Waktu: siang </w:t>
            </w:r>
          </w:p>
        </w:tc>
      </w:tr>
      <w:tr w:rsidR="006648BB" w:rsidRPr="00580745" w:rsidTr="0045305C">
        <w:trPr>
          <w:jc w:val="center"/>
        </w:trPr>
        <w:tc>
          <w:tcPr>
            <w:tcW w:w="412"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538"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H13 </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rsidTr="0045305C">
        <w:trPr>
          <w:trHeight w:val="532"/>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53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trHeight w:val="225"/>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53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5305C">
        <w:trPr>
          <w:jc w:val="center"/>
        </w:trPr>
        <w:tc>
          <w:tcPr>
            <w:tcW w:w="9311" w:type="dxa"/>
            <w:gridSpan w:val="16"/>
            <w:tcBorders>
              <w:top w:val="single" w:sz="4" w:space="0" w:color="auto"/>
              <w:left w:val="nil"/>
              <w:bottom w:val="single" w:sz="4" w:space="0" w:color="auto"/>
              <w:right w:val="nil"/>
            </w:tcBorders>
            <w:vAlign w:val="center"/>
            <w:hideMark/>
          </w:tcPr>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rsidTr="0045305C">
        <w:trPr>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53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5305C">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53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4 </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9311"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rsidTr="0045305C">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53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53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5305C">
        <w:trPr>
          <w:jc w:val="center"/>
        </w:trPr>
        <w:tc>
          <w:tcPr>
            <w:tcW w:w="9311"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rsidTr="0045305C">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136 /81</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123/78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125/76</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118/87</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132/78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125/80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120/80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121/80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122/80</w:t>
            </w:r>
          </w:p>
        </w:tc>
      </w:tr>
      <w:tr w:rsidR="006648BB" w:rsidRPr="00580745" w:rsidTr="0045305C">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53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87</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86</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79</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r>
    </w:tbl>
    <w:p w:rsidR="006648BB" w:rsidRDefault="006648BB" w:rsidP="006648BB">
      <w:pPr>
        <w:spacing w:after="0" w:line="480" w:lineRule="auto"/>
        <w:rPr>
          <w:rFonts w:ascii="Times New Roman" w:hAnsi="Times New Roman" w:cs="Times New Roman"/>
          <w:sz w:val="24"/>
          <w:szCs w:val="24"/>
        </w:rPr>
      </w:pPr>
    </w:p>
    <w:tbl>
      <w:tblPr>
        <w:tblStyle w:val="TableGrid2"/>
        <w:tblW w:w="9322"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78"/>
      </w:tblGrid>
      <w:tr w:rsidR="006648BB" w:rsidRPr="00580745" w:rsidTr="00467316">
        <w:trPr>
          <w:trHeight w:val="251"/>
          <w:jc w:val="center"/>
        </w:trPr>
        <w:tc>
          <w:tcPr>
            <w:tcW w:w="412"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20" w:type="dxa"/>
            <w:gridSpan w:val="14"/>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Nama : Nn.F              waktu ; pagi</w:t>
            </w:r>
          </w:p>
        </w:tc>
      </w:tr>
      <w:tr w:rsidR="006648BB" w:rsidRPr="00580745" w:rsidTr="00467316">
        <w:trPr>
          <w:jc w:val="center"/>
        </w:trPr>
        <w:tc>
          <w:tcPr>
            <w:tcW w:w="412"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78"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rsidTr="00467316">
        <w:trPr>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9322" w:type="dxa"/>
            <w:gridSpan w:val="16"/>
            <w:tcBorders>
              <w:top w:val="single" w:sz="4" w:space="0" w:color="auto"/>
              <w:left w:val="nil"/>
              <w:bottom w:val="single" w:sz="4" w:space="0" w:color="auto"/>
              <w:right w:val="nil"/>
            </w:tcBorders>
            <w:vAlign w:val="center"/>
            <w:hideMark/>
          </w:tcPr>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lastRenderedPageBreak/>
              <w:t>4 : Cukup men</w:t>
            </w:r>
            <w:r w:rsidRPr="00580745">
              <w:rPr>
                <w:rFonts w:ascii="Times New Roman" w:eastAsia="Calibri" w:hAnsi="Times New Roman" w:cs="Times New Roman"/>
                <w:lang w:val="sv-SE"/>
              </w:rPr>
              <w:t>ingkat</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rsidTr="00467316">
        <w:trPr>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67316">
        <w:trPr>
          <w:jc w:val="center"/>
        </w:trPr>
        <w:tc>
          <w:tcPr>
            <w:tcW w:w="9322"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rsidTr="00467316">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67316">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9322"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rsidTr="004A13A3">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124/85</w:t>
            </w:r>
          </w:p>
        </w:tc>
        <w:tc>
          <w:tcPr>
            <w:tcW w:w="444" w:type="dxa"/>
            <w:tcBorders>
              <w:top w:val="single" w:sz="4" w:space="0" w:color="auto"/>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95/63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94/68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98/66</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97/60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100/69</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113/79</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115/80</w:t>
            </w:r>
          </w:p>
        </w:tc>
        <w:tc>
          <w:tcPr>
            <w:tcW w:w="567" w:type="dxa"/>
            <w:tcBorders>
              <w:top w:val="single" w:sz="4" w:space="0" w:color="auto"/>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111/76</w:t>
            </w:r>
          </w:p>
        </w:tc>
        <w:tc>
          <w:tcPr>
            <w:tcW w:w="567" w:type="dxa"/>
            <w:tcBorders>
              <w:top w:val="single" w:sz="4" w:space="0" w:color="auto"/>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112/79</w:t>
            </w:r>
          </w:p>
        </w:tc>
        <w:tc>
          <w:tcPr>
            <w:tcW w:w="578"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118/76</w:t>
            </w:r>
          </w:p>
        </w:tc>
      </w:tr>
      <w:tr w:rsidR="006648BB" w:rsidRPr="00580745" w:rsidTr="004A13A3">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95</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78"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r>
    </w:tbl>
    <w:p w:rsidR="006648BB" w:rsidRDefault="006648BB" w:rsidP="006648BB">
      <w:pPr>
        <w:spacing w:after="0" w:line="480" w:lineRule="auto"/>
        <w:rPr>
          <w:rFonts w:ascii="Times New Roman" w:hAnsi="Times New Roman" w:cs="Times New Roman"/>
          <w:sz w:val="24"/>
          <w:szCs w:val="24"/>
        </w:rPr>
      </w:pPr>
    </w:p>
    <w:tbl>
      <w:tblPr>
        <w:tblStyle w:val="TableGrid3"/>
        <w:tblW w:w="9311"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67"/>
      </w:tblGrid>
      <w:tr w:rsidR="006648BB" w:rsidRPr="00580745" w:rsidTr="004A13A3">
        <w:trPr>
          <w:trHeight w:val="251"/>
          <w:jc w:val="center"/>
        </w:trPr>
        <w:tc>
          <w:tcPr>
            <w:tcW w:w="412"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 Nn.F     Waktu : Siang </w:t>
            </w:r>
          </w:p>
        </w:tc>
      </w:tr>
      <w:tr w:rsidR="006648BB" w:rsidRPr="00580745" w:rsidTr="004A13A3">
        <w:trPr>
          <w:jc w:val="center"/>
        </w:trPr>
        <w:tc>
          <w:tcPr>
            <w:tcW w:w="412"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67" w:type="dxa"/>
            <w:tcBorders>
              <w:top w:val="single" w:sz="4" w:space="0" w:color="auto"/>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rsidTr="004A13A3">
        <w:trPr>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A13A3">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2</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A13A3">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A13A3">
        <w:trPr>
          <w:jc w:val="center"/>
        </w:trPr>
        <w:tc>
          <w:tcPr>
            <w:tcW w:w="9311" w:type="dxa"/>
            <w:gridSpan w:val="16"/>
            <w:tcBorders>
              <w:top w:val="single" w:sz="4" w:space="0" w:color="auto"/>
              <w:left w:val="nil"/>
              <w:bottom w:val="single" w:sz="4" w:space="0" w:color="auto"/>
              <w:right w:val="nil"/>
            </w:tcBorders>
            <w:vAlign w:val="center"/>
            <w:hideMark/>
          </w:tcPr>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rsidTr="004A13A3">
        <w:trPr>
          <w:jc w:val="center"/>
        </w:trPr>
        <w:tc>
          <w:tcPr>
            <w:tcW w:w="412" w:type="dxa"/>
            <w:tcBorders>
              <w:top w:val="single" w:sz="4" w:space="0" w:color="auto"/>
              <w:left w:val="nil"/>
              <w:bottom w:val="nil"/>
              <w:right w:val="nil"/>
            </w:tcBorders>
            <w:hideMark/>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A13A3">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9311"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rsidTr="004A13A3">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412"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rsidTr="004A13A3">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rsidTr="004A13A3">
        <w:trPr>
          <w:jc w:val="center"/>
        </w:trPr>
        <w:tc>
          <w:tcPr>
            <w:tcW w:w="9311" w:type="dxa"/>
            <w:gridSpan w:val="16"/>
            <w:tcBorders>
              <w:top w:val="single" w:sz="4" w:space="0" w:color="auto"/>
              <w:left w:val="nil"/>
              <w:bottom w:val="single" w:sz="4" w:space="0" w:color="auto"/>
              <w:right w:val="nil"/>
            </w:tcBorders>
          </w:tcPr>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lastRenderedPageBreak/>
              <w:t>4 :</w:t>
            </w:r>
            <w:proofErr w:type="gramEnd"/>
            <w:r w:rsidRPr="00580745">
              <w:rPr>
                <w:rFonts w:ascii="Times New Roman" w:eastAsia="Calibri" w:hAnsi="Times New Roman" w:cs="Times New Roman"/>
              </w:rPr>
              <w:t xml:space="preserve"> Cukup Menurun </w:t>
            </w:r>
          </w:p>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rsidTr="004A13A3">
        <w:trPr>
          <w:jc w:val="center"/>
        </w:trPr>
        <w:tc>
          <w:tcPr>
            <w:tcW w:w="412"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bookmarkStart w:id="0" w:name="_GoBack"/>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90/75</w:t>
            </w:r>
          </w:p>
        </w:tc>
        <w:tc>
          <w:tcPr>
            <w:tcW w:w="444"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102/65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104/75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106/70</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103/75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108/76</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110/75</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114/78</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115/71</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118/69</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120/66</w:t>
            </w:r>
          </w:p>
        </w:tc>
        <w:tc>
          <w:tcPr>
            <w:tcW w:w="567" w:type="dxa"/>
            <w:tcBorders>
              <w:top w:val="single" w:sz="4" w:space="0" w:color="auto"/>
              <w:left w:val="nil"/>
              <w:bottom w:val="nil"/>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118/68</w:t>
            </w:r>
          </w:p>
        </w:tc>
      </w:tr>
      <w:tr w:rsidR="006648BB" w:rsidRPr="00580745" w:rsidTr="004A13A3">
        <w:trPr>
          <w:jc w:val="center"/>
        </w:trPr>
        <w:tc>
          <w:tcPr>
            <w:tcW w:w="412"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w:t>
            </w:r>
          </w:p>
        </w:tc>
        <w:tc>
          <w:tcPr>
            <w:tcW w:w="444"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71</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67</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r>
      <w:bookmarkEnd w:id="0"/>
    </w:tbl>
    <w:p w:rsidR="006648BB" w:rsidRDefault="006648BB" w:rsidP="006648BB">
      <w:pPr>
        <w:spacing w:after="0" w:line="480" w:lineRule="auto"/>
        <w:rPr>
          <w:rFonts w:ascii="Times New Roman" w:hAnsi="Times New Roman" w:cs="Times New Roman"/>
          <w:sz w:val="24"/>
          <w:szCs w:val="24"/>
        </w:rPr>
      </w:pPr>
    </w:p>
    <w:p w:rsidR="00761EA1" w:rsidRPr="00761EA1" w:rsidRDefault="00761EA1" w:rsidP="006648BB">
      <w:pPr>
        <w:jc w:val="both"/>
        <w:rPr>
          <w:rFonts w:ascii="Times New Roman" w:hAnsi="Times New Roman" w:cs="Times New Roman"/>
          <w:sz w:val="24"/>
          <w:szCs w:val="24"/>
        </w:rPr>
      </w:pPr>
      <w:r w:rsidRPr="00761EA1">
        <w:rPr>
          <w:rFonts w:ascii="Times New Roman" w:hAnsi="Times New Roman" w:cs="Times New Roman"/>
          <w:sz w:val="24"/>
          <w:szCs w:val="24"/>
        </w:rPr>
        <w:t>Penilaian selama 14 hari menunjukkan adanya peningkatan signifikan pada semua indikator toleransi aktivitas. Peningkatan ini mencerminkan perbaikan fisiologis akibat naiknya kadar hemoglobin. Kondisi seperti dyspnea dan rasa lelah yang awalnya muncul secara dominan, berkurang secara bertahap hingga tidak ada pada akhir intervensi.</w:t>
      </w:r>
    </w:p>
    <w:p w:rsidR="00761EA1" w:rsidRPr="006648BB" w:rsidRDefault="006648BB" w:rsidP="006648B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Peningkatan Kadar Hemoglobin</w:t>
      </w:r>
    </w:p>
    <w:p w:rsidR="00761EA1" w:rsidRDefault="00761EA1" w:rsidP="00232B51">
      <w:pPr>
        <w:jc w:val="center"/>
        <w:rPr>
          <w:rFonts w:ascii="Times New Roman" w:hAnsi="Times New Roman" w:cs="Times New Roman"/>
          <w:sz w:val="24"/>
          <w:szCs w:val="24"/>
        </w:rPr>
      </w:pPr>
      <w:r w:rsidRPr="00761EA1">
        <w:rPr>
          <w:rFonts w:ascii="Times New Roman" w:hAnsi="Times New Roman" w:cs="Times New Roman"/>
          <w:sz w:val="24"/>
          <w:szCs w:val="24"/>
        </w:rPr>
        <w:t>Tabel 5. Kadar Hemoglobin Sebelum da</w:t>
      </w:r>
      <w:r w:rsidR="006648BB">
        <w:rPr>
          <w:rFonts w:ascii="Times New Roman" w:hAnsi="Times New Roman" w:cs="Times New Roman"/>
          <w:sz w:val="24"/>
          <w:szCs w:val="24"/>
        </w:rPr>
        <w:t>n Sesudah Pemberian Sari Kurma</w:t>
      </w:r>
    </w:p>
    <w:tbl>
      <w:tblPr>
        <w:tblStyle w:val="TableGrid"/>
        <w:tblW w:w="0" w:type="auto"/>
        <w:tblInd w:w="20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
        <w:gridCol w:w="1094"/>
        <w:gridCol w:w="1276"/>
        <w:gridCol w:w="1134"/>
      </w:tblGrid>
      <w:tr w:rsidR="00232B51" w:rsidRPr="00784225" w:rsidTr="005418A8">
        <w:tc>
          <w:tcPr>
            <w:tcW w:w="551" w:type="dxa"/>
          </w:tcPr>
          <w:p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09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276"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113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rsidTr="005418A8">
        <w:tc>
          <w:tcPr>
            <w:tcW w:w="551"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R1</w:t>
            </w:r>
          </w:p>
        </w:tc>
        <w:tc>
          <w:tcPr>
            <w:tcW w:w="109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276"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113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rsidTr="005418A8">
        <w:tc>
          <w:tcPr>
            <w:tcW w:w="551"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09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276"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134" w:type="dxa"/>
          </w:tcPr>
          <w:p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rsidR="00761EA1" w:rsidRPr="00761EA1" w:rsidRDefault="00761EA1" w:rsidP="00761EA1">
      <w:pPr>
        <w:rPr>
          <w:rFonts w:ascii="Times New Roman" w:hAnsi="Times New Roman" w:cs="Times New Roman"/>
          <w:sz w:val="24"/>
          <w:szCs w:val="24"/>
        </w:rPr>
      </w:pPr>
    </w:p>
    <w:p w:rsidR="00761EA1" w:rsidRPr="00761EA1" w:rsidRDefault="00761EA1" w:rsidP="00232B51">
      <w:pPr>
        <w:jc w:val="both"/>
        <w:rPr>
          <w:rFonts w:ascii="Times New Roman" w:hAnsi="Times New Roman" w:cs="Times New Roman"/>
          <w:sz w:val="24"/>
          <w:szCs w:val="24"/>
        </w:rPr>
      </w:pPr>
      <w:r w:rsidRPr="00761EA1">
        <w:rPr>
          <w:rFonts w:ascii="Times New Roman" w:hAnsi="Times New Roman" w:cs="Times New Roman"/>
          <w:sz w:val="24"/>
          <w:szCs w:val="24"/>
        </w:rPr>
        <w:t xml:space="preserve">Terjadi peningkatan kadar Hb </w:t>
      </w:r>
      <w:r w:rsidR="00232B51" w:rsidRPr="00232B51">
        <w:rPr>
          <w:rFonts w:ascii="Times New Roman" w:hAnsi="Times New Roman" w:cs="Times New Roman"/>
          <w:sz w:val="24"/>
          <w:szCs w:val="24"/>
        </w:rPr>
        <w:t>responden 1 sebanyak 4 g/dl sedangkan pada responden 2 mengalami peningkatan sebanyak 2 g/dl</w:t>
      </w:r>
      <w:r w:rsidRPr="00761EA1">
        <w:rPr>
          <w:rFonts w:ascii="Times New Roman" w:hAnsi="Times New Roman" w:cs="Times New Roman"/>
          <w:sz w:val="24"/>
          <w:szCs w:val="24"/>
        </w:rPr>
        <w:t>. Hal ini sesuai dengan temuan Mawaddah (2020) dan Indira &amp; Aisah (2024) yang menyebutkan bahwa konsumsi sari kurma berperan signifikan dalam meningkatkan kadar Hb remaja putri. Zat besi yang terkandung dalam sari kurma berperan dalam pembentukan hemoglobin, sementara kandungan gulanya memberi energi yang dibutuhkan untuk pemulihan aktivitas.</w:t>
      </w:r>
    </w:p>
    <w:p w:rsidR="00761EA1" w:rsidRPr="00761EA1" w:rsidRDefault="00761EA1" w:rsidP="00232B51">
      <w:pPr>
        <w:jc w:val="both"/>
        <w:rPr>
          <w:rFonts w:ascii="Times New Roman" w:hAnsi="Times New Roman" w:cs="Times New Roman"/>
          <w:sz w:val="24"/>
          <w:szCs w:val="24"/>
        </w:rPr>
      </w:pPr>
      <w:r w:rsidRPr="00761EA1">
        <w:rPr>
          <w:rFonts w:ascii="Times New Roman" w:hAnsi="Times New Roman" w:cs="Times New Roman"/>
          <w:sz w:val="24"/>
          <w:szCs w:val="24"/>
        </w:rPr>
        <w:t>Berdasarkan hasil dan tabel-tabel yang dianalisis, dapat disimpulkan bahwa pemberian sari kurma secara rutin selama 14 hari terbukti meningkatkan kadar hemoglobin dan memperbaiki toleransi aktivitas pada remaja putri yang mengalami anemia. Peningkatan terlihat secara bertahap pada indikator aktivitas harian, serta adanya perbaikan gejala seperti rasa lelah, sesak napas, dan kelemahan. Hal ini menunjukkan bahwa sari kurma dapat menjadi intervensi alami yang efektif dan layak digunakan dalam praktik keperawatan untuk penanganan anemia ringan hingga sedang pada remaja.</w:t>
      </w:r>
    </w:p>
    <w:p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space="720"/>
          <w:docGrid w:linePitch="360"/>
        </w:sectPr>
      </w:pPr>
    </w:p>
    <w:p w:rsidR="00CC487B" w:rsidRPr="00893D1F" w:rsidRDefault="00CC3F80" w:rsidP="00761EA1">
      <w:pPr>
        <w:rPr>
          <w:rFonts w:ascii="Times New Roman" w:hAnsi="Times New Roman" w:cs="Times New Roman"/>
          <w:b/>
          <w:sz w:val="24"/>
          <w:szCs w:val="24"/>
        </w:rPr>
      </w:pPr>
      <w:r w:rsidRPr="00893D1F">
        <w:rPr>
          <w:rFonts w:ascii="Times New Roman" w:hAnsi="Times New Roman" w:cs="Times New Roman"/>
          <w:b/>
          <w:sz w:val="24"/>
          <w:szCs w:val="24"/>
        </w:rPr>
        <w:lastRenderedPageBreak/>
        <w:t>KESIMPULAN</w:t>
      </w:r>
    </w:p>
    <w:p w:rsidR="005418A8" w:rsidRDefault="005418A8" w:rsidP="00467E71">
      <w:pPr>
        <w:jc w:val="both"/>
        <w:rPr>
          <w:rFonts w:ascii="Times New Roman" w:hAnsi="Times New Roman" w:cs="Times New Roman"/>
          <w:sz w:val="24"/>
          <w:szCs w:val="24"/>
        </w:rPr>
      </w:pPr>
      <w:r w:rsidRPr="005418A8">
        <w:rPr>
          <w:rFonts w:ascii="Times New Roman" w:hAnsi="Times New Roman" w:cs="Times New Roman"/>
          <w:sz w:val="24"/>
          <w:szCs w:val="24"/>
        </w:rPr>
        <w:t xml:space="preserve">Setelah mengonsumsi sari kurma secara rutin selama 14 hari, kadar hemoglobin pada kedua responden mengalami peningkatan yang cukup signifikan, yakni sebesar 4,0 g/dl pada responden pertama dan 2,0 g/dl pada responden kedua. Hal </w:t>
      </w:r>
      <w:r w:rsidRPr="005418A8">
        <w:rPr>
          <w:rFonts w:ascii="Times New Roman" w:hAnsi="Times New Roman" w:cs="Times New Roman"/>
          <w:sz w:val="24"/>
          <w:szCs w:val="24"/>
        </w:rPr>
        <w:lastRenderedPageBreak/>
        <w:t>ini menunjukkan bahwa sari kurma berpotensi menjadi suplemen alami yang efektif untuk mengatasi anemia ringan. Peningkatan ini juga diikuti denga</w:t>
      </w:r>
      <w:r w:rsidR="00467E71">
        <w:rPr>
          <w:rFonts w:ascii="Times New Roman" w:hAnsi="Times New Roman" w:cs="Times New Roman"/>
          <w:sz w:val="24"/>
          <w:szCs w:val="24"/>
        </w:rPr>
        <w:t xml:space="preserve">n membaiknya toleransi </w:t>
      </w:r>
      <w:r w:rsidRPr="005418A8">
        <w:rPr>
          <w:rFonts w:ascii="Times New Roman" w:hAnsi="Times New Roman" w:cs="Times New Roman"/>
          <w:sz w:val="24"/>
          <w:szCs w:val="24"/>
        </w:rPr>
        <w:t xml:space="preserve">aktivitas, yang terlihat dari berkurangnya gejala fisik serta normalnya tanda-tanda vital seperti </w:t>
      </w:r>
      <w:r w:rsidRPr="005418A8">
        <w:rPr>
          <w:rFonts w:ascii="Times New Roman" w:hAnsi="Times New Roman" w:cs="Times New Roman"/>
          <w:sz w:val="24"/>
          <w:szCs w:val="24"/>
        </w:rPr>
        <w:lastRenderedPageBreak/>
        <w:t>tekanan darah, denyut nadi, dan warna kulit.</w:t>
      </w:r>
    </w:p>
    <w:p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rsidR="00CC487B" w:rsidRPr="00893D1F" w:rsidRDefault="00CC3F80" w:rsidP="00B27896">
      <w:pPr>
        <w:rPr>
          <w:rFonts w:ascii="Times New Roman" w:hAnsi="Times New Roman" w:cs="Times New Roman"/>
          <w:b/>
          <w:sz w:val="24"/>
          <w:szCs w:val="24"/>
        </w:rPr>
      </w:pPr>
      <w:r w:rsidRPr="00893D1F">
        <w:rPr>
          <w:rFonts w:ascii="Times New Roman" w:hAnsi="Times New Roman" w:cs="Times New Roman"/>
          <w:b/>
          <w:sz w:val="24"/>
          <w:szCs w:val="24"/>
        </w:rPr>
        <w:lastRenderedPageBreak/>
        <w:t>DAFTAR PUSTAKA</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893D1F">
        <w:rPr>
          <w:rFonts w:ascii="Times New Roman" w:hAnsi="Times New Roman" w:cs="Times New Roman"/>
          <w:noProof/>
          <w:sz w:val="24"/>
          <w:szCs w:val="24"/>
        </w:rPr>
        <w:t xml:space="preserve">Agustyas, A. A. (2016). </w:t>
      </w:r>
      <w:r w:rsidRPr="00893D1F">
        <w:rPr>
          <w:rFonts w:ascii="Times New Roman" w:hAnsi="Times New Roman" w:cs="Times New Roman"/>
          <w:i/>
          <w:iCs/>
          <w:noProof/>
          <w:sz w:val="24"/>
          <w:szCs w:val="24"/>
        </w:rPr>
        <w:t>Diagnosis dan Tatalaksana Anemia Defisiensi Besi</w:t>
      </w:r>
      <w:r w:rsidRPr="00893D1F">
        <w:rPr>
          <w:rFonts w:ascii="Times New Roman" w:hAnsi="Times New Roman" w:cs="Times New Roman"/>
          <w:noProof/>
          <w:sz w:val="24"/>
          <w:szCs w:val="24"/>
        </w:rPr>
        <w:t>.</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Asiva Noor Rachmayani. (2023). </w:t>
      </w:r>
      <w:r w:rsidRPr="00893D1F">
        <w:rPr>
          <w:rFonts w:ascii="Times New Roman" w:hAnsi="Times New Roman" w:cs="Times New Roman"/>
          <w:i/>
          <w:iCs/>
          <w:noProof/>
          <w:sz w:val="24"/>
          <w:szCs w:val="24"/>
        </w:rPr>
        <w:t>Mengenal Anemia</w:t>
      </w:r>
      <w:r w:rsidRPr="00893D1F">
        <w:rPr>
          <w:rFonts w:ascii="Times New Roman" w:hAnsi="Times New Roman" w:cs="Times New Roman"/>
          <w:noProof/>
          <w:sz w:val="24"/>
          <w:szCs w:val="24"/>
        </w:rPr>
        <w:t>.</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Chasanah, S. U., Basuki, P. P., &amp; Dewi, I. M. (2019). Anemia Penyebab, Strategi Pencegahan dan Penanggulangannya bagi Remaja. </w:t>
      </w:r>
      <w:r w:rsidRPr="00893D1F">
        <w:rPr>
          <w:rFonts w:ascii="Times New Roman" w:hAnsi="Times New Roman" w:cs="Times New Roman"/>
          <w:i/>
          <w:iCs/>
          <w:noProof/>
          <w:sz w:val="24"/>
          <w:szCs w:val="24"/>
        </w:rPr>
        <w:t>Angewandte Chemie International Edition, 6(11), 951–952.</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2</w:t>
      </w:r>
      <w:r w:rsidRPr="00893D1F">
        <w:rPr>
          <w:rFonts w:ascii="Times New Roman" w:hAnsi="Times New Roman" w:cs="Times New Roman"/>
          <w:noProof/>
          <w:sz w:val="24"/>
          <w:szCs w:val="24"/>
        </w:rPr>
        <w:t>.</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Indira, E., &amp; Aisah, S. (2024). Pemberian sari kurma untuk meningkatkan kadar hemoglobin pada remaja putri dengan anemia. </w:t>
      </w:r>
      <w:r w:rsidRPr="00893D1F">
        <w:rPr>
          <w:rFonts w:ascii="Times New Roman" w:hAnsi="Times New Roman" w:cs="Times New Roman"/>
          <w:i/>
          <w:iCs/>
          <w:noProof/>
          <w:sz w:val="24"/>
          <w:szCs w:val="24"/>
        </w:rPr>
        <w:t>Holistic Nursing Care Approach</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4</w:t>
      </w:r>
      <w:r w:rsidRPr="00893D1F">
        <w:rPr>
          <w:rFonts w:ascii="Times New Roman" w:hAnsi="Times New Roman" w:cs="Times New Roman"/>
          <w:noProof/>
          <w:sz w:val="24"/>
          <w:szCs w:val="24"/>
        </w:rPr>
        <w:t>(1), 18. https://doi.org/10.26714/hnca.v4i1.13104</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(2022). </w:t>
      </w:r>
      <w:r w:rsidRPr="00893D1F">
        <w:rPr>
          <w:rFonts w:ascii="Times New Roman" w:hAnsi="Times New Roman" w:cs="Times New Roman"/>
          <w:i/>
          <w:iCs/>
          <w:noProof/>
          <w:sz w:val="24"/>
          <w:szCs w:val="24"/>
        </w:rPr>
        <w:t>Remaja Bebas Anemia: Konsentrasi Belajar Meningkat, Bebas Prestasi</w:t>
      </w:r>
      <w:r w:rsidRPr="00893D1F">
        <w:rPr>
          <w:rFonts w:ascii="Times New Roman" w:hAnsi="Times New Roman" w:cs="Times New Roman"/>
          <w:noProof/>
          <w:sz w:val="24"/>
          <w:szCs w:val="24"/>
        </w:rPr>
        <w:t>.</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lastRenderedPageBreak/>
        <w:t xml:space="preserve">Kemenkes RI. (2023). </w:t>
      </w:r>
      <w:r w:rsidRPr="00893D1F">
        <w:rPr>
          <w:rFonts w:ascii="Times New Roman" w:hAnsi="Times New Roman" w:cs="Times New Roman"/>
          <w:i/>
          <w:iCs/>
          <w:noProof/>
          <w:sz w:val="24"/>
          <w:szCs w:val="24"/>
        </w:rPr>
        <w:t>Mengenal Gejala Anemia Pada Remaja</w:t>
      </w:r>
      <w:r w:rsidRPr="00893D1F">
        <w:rPr>
          <w:rFonts w:ascii="Times New Roman" w:hAnsi="Times New Roman" w:cs="Times New Roman"/>
          <w:noProof/>
          <w:sz w:val="24"/>
          <w:szCs w:val="24"/>
        </w:rPr>
        <w:t>.</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Mawaddah, S. (2020). Ppengaruh Pemberian Sari Kurma Terhadap Peningkatan Kadar Hemoglobin Pada Remaja Putri Yang Mengalami Anemia. </w:t>
      </w:r>
      <w:r w:rsidRPr="00893D1F">
        <w:rPr>
          <w:rFonts w:ascii="Times New Roman" w:hAnsi="Times New Roman" w:cs="Times New Roman"/>
          <w:i/>
          <w:iCs/>
          <w:noProof/>
          <w:sz w:val="24"/>
          <w:szCs w:val="24"/>
        </w:rPr>
        <w:t>Media Informasi</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15</w:t>
      </w:r>
      <w:r w:rsidRPr="00893D1F">
        <w:rPr>
          <w:rFonts w:ascii="Times New Roman" w:hAnsi="Times New Roman" w:cs="Times New Roman"/>
          <w:noProof/>
          <w:sz w:val="24"/>
          <w:szCs w:val="24"/>
        </w:rPr>
        <w:t>(2), 160–164. https://doi.org/10.37160/bmi.v15i2.385</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893D1F">
        <w:rPr>
          <w:rFonts w:ascii="Times New Roman" w:hAnsi="Times New Roman" w:cs="Times New Roman"/>
          <w:i/>
          <w:iCs/>
          <w:noProof/>
          <w:sz w:val="24"/>
          <w:szCs w:val="24"/>
        </w:rPr>
        <w:t>Journal GEEJ</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7</w:t>
      </w:r>
      <w:r w:rsidRPr="00893D1F">
        <w:rPr>
          <w:rFonts w:ascii="Times New Roman" w:hAnsi="Times New Roman" w:cs="Times New Roman"/>
          <w:noProof/>
          <w:sz w:val="24"/>
          <w:szCs w:val="24"/>
        </w:rPr>
        <w:t>(2).</w:t>
      </w:r>
    </w:p>
    <w:p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rPr>
      </w:pPr>
      <w:r w:rsidRPr="00893D1F">
        <w:rPr>
          <w:rFonts w:ascii="Times New Roman" w:hAnsi="Times New Roman" w:cs="Times New Roman"/>
          <w:noProof/>
          <w:sz w:val="24"/>
          <w:szCs w:val="24"/>
        </w:rPr>
        <w:t xml:space="preserve">Rivki, M., Bachtiar, A. M., Informatika, T., Teknik, F., &amp; Indonesia, U. K. (2018). </w:t>
      </w:r>
      <w:r w:rsidRPr="00893D1F">
        <w:rPr>
          <w:rFonts w:ascii="Times New Roman" w:hAnsi="Times New Roman" w:cs="Times New Roman"/>
          <w:i/>
          <w:iCs/>
          <w:noProof/>
          <w:sz w:val="24"/>
          <w:szCs w:val="24"/>
        </w:rPr>
        <w:t>Pedoman Pencegahan dan Penanggulangan Anemia Pada Remaja Putri dan Wanita Usia Subur (WUS)</w:t>
      </w:r>
      <w:r w:rsidRPr="00893D1F">
        <w:rPr>
          <w:rFonts w:ascii="Times New Roman" w:hAnsi="Times New Roman" w:cs="Times New Roman"/>
          <w:noProof/>
          <w:sz w:val="24"/>
          <w:szCs w:val="24"/>
        </w:rPr>
        <w:t xml:space="preserve"> (Issue 112). Kementrian Kesehatan Republik Indonesia.</w:t>
      </w:r>
    </w:p>
    <w:p w:rsidR="00893D1F" w:rsidRDefault="00893D1F" w:rsidP="00B27896">
      <w:pPr>
        <w:rPr>
          <w:rFonts w:ascii="Times New Roman" w:hAnsi="Times New Roman" w:cs="Times New Roman"/>
          <w:sz w:val="24"/>
          <w:szCs w:val="24"/>
        </w:rPr>
        <w:sectPr w:rsidR="00893D1F" w:rsidSect="00893D1F">
          <w:type w:val="continuous"/>
          <w:pgSz w:w="12240" w:h="15840"/>
          <w:pgMar w:top="1440" w:right="1800" w:bottom="1440" w:left="1800" w:header="720" w:footer="720" w:gutter="0"/>
          <w:cols w:num="2" w:space="720"/>
          <w:docGrid w:linePitch="360"/>
        </w:sectPr>
      </w:pPr>
      <w:r>
        <w:rPr>
          <w:rFonts w:ascii="Times New Roman" w:hAnsi="Times New Roman" w:cs="Times New Roman"/>
          <w:sz w:val="24"/>
          <w:szCs w:val="24"/>
        </w:rPr>
        <w:fldChar w:fldCharType="end"/>
      </w:r>
    </w:p>
    <w:p w:rsidR="00893D1F" w:rsidRPr="00B27896" w:rsidRDefault="00893D1F" w:rsidP="00B27896">
      <w:pPr>
        <w:rPr>
          <w:rFonts w:ascii="Times New Roman" w:hAnsi="Times New Roman" w:cs="Times New Roman"/>
          <w:sz w:val="24"/>
          <w:szCs w:val="24"/>
        </w:rPr>
      </w:pPr>
    </w:p>
    <w:p w:rsidR="00CC487B" w:rsidRPr="00B27896" w:rsidRDefault="00CC487B" w:rsidP="00B27896">
      <w:pPr>
        <w:rPr>
          <w:rFonts w:ascii="Times New Roman" w:hAnsi="Times New Roman" w:cs="Times New Roman"/>
          <w:sz w:val="24"/>
          <w:szCs w:val="24"/>
        </w:rPr>
      </w:pPr>
    </w:p>
    <w:sectPr w:rsidR="00CC487B" w:rsidRPr="00B27896" w:rsidSect="00893D1F">
      <w:type w:val="continuous"/>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76E5"/>
    <w:rsid w:val="0015074B"/>
    <w:rsid w:val="00197678"/>
    <w:rsid w:val="00230F02"/>
    <w:rsid w:val="00232B51"/>
    <w:rsid w:val="0029639D"/>
    <w:rsid w:val="00326F90"/>
    <w:rsid w:val="0045305C"/>
    <w:rsid w:val="00467316"/>
    <w:rsid w:val="00467E71"/>
    <w:rsid w:val="004A13A3"/>
    <w:rsid w:val="005418A8"/>
    <w:rsid w:val="006648BB"/>
    <w:rsid w:val="00761EA1"/>
    <w:rsid w:val="00893D1F"/>
    <w:rsid w:val="009F654A"/>
    <w:rsid w:val="00AA1D8D"/>
    <w:rsid w:val="00B27896"/>
    <w:rsid w:val="00B47730"/>
    <w:rsid w:val="00CB0664"/>
    <w:rsid w:val="00CC3F80"/>
    <w:rsid w:val="00CC487B"/>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01A2D6"/>
  <w14:defaultImageDpi w14:val="300"/>
  <w15:docId w15:val="{B622D6DF-C749-4D5F-9621-E872982D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hansanurizzat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9399A-FE93-407E-82BA-7BC3D2D8D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6500</Words>
  <Characters>37051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Admin</cp:lastModifiedBy>
  <cp:revision>2</cp:revision>
  <dcterms:created xsi:type="dcterms:W3CDTF">2025-06-30T05:13:00Z</dcterms:created>
  <dcterms:modified xsi:type="dcterms:W3CDTF">2025-07-02T03:42:00Z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