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cs="Times New Roman"/>
          <w:b/>
          <w:sz w:val="28"/>
          <w:lang w:val="id-ID"/>
        </w:rPr>
      </w:pPr>
      <w:r>
        <w:rPr>
          <w:rFonts w:cs="Times New Roman"/>
          <w:b/>
          <w:sz w:val="28"/>
          <w:lang w:val="id-ID"/>
        </w:rPr>
        <w:t>EFEKTIVITAS PEMBERIAN JUS BUAH BIT (</w:t>
      </w:r>
      <w:r>
        <w:rPr>
          <w:rFonts w:cs="Times New Roman"/>
          <w:b/>
          <w:i/>
          <w:sz w:val="28"/>
          <w:lang w:val="id-ID"/>
        </w:rPr>
        <w:t>Beta vulgaris l.)</w:t>
      </w:r>
      <w:r>
        <w:rPr>
          <w:rFonts w:cs="Times New Roman"/>
          <w:b/>
          <w:sz w:val="28"/>
          <w:lang w:val="id-ID"/>
        </w:rPr>
        <w:t xml:space="preserve"> UNTUK MENGATASI PERFUSI PERIFER TIDAK EFEKTIF PADA ANEMIA DI DESA ROWO KECAMATAN KANDANGAN</w:t>
      </w:r>
    </w:p>
    <w:p>
      <w:pPr>
        <w:spacing w:after="0" w:line="240" w:lineRule="auto"/>
        <w:jc w:val="center"/>
        <w:rPr>
          <w:rFonts w:cs="Times New Roman"/>
          <w:sz w:val="22"/>
          <w:lang w:val="id-ID"/>
        </w:rPr>
      </w:pPr>
    </w:p>
    <w:p>
      <w:pPr>
        <w:pStyle w:val="2"/>
        <w:jc w:val="center"/>
        <w:rPr>
          <w:rFonts w:cs="Times New Roman"/>
          <w:sz w:val="22"/>
          <w:lang w:val="id-ID"/>
        </w:rPr>
      </w:pPr>
      <w:bookmarkStart w:id="5" w:name="_GoBack"/>
      <w:bookmarkEnd w:id="5"/>
    </w:p>
    <w:p>
      <w:pPr>
        <w:spacing w:after="0" w:line="240" w:lineRule="auto"/>
        <w:jc w:val="center"/>
        <w:rPr>
          <w:rFonts w:cs="Times New Roman"/>
          <w:b/>
          <w:sz w:val="22"/>
          <w:lang w:val="id-ID"/>
        </w:rPr>
      </w:pPr>
      <w:bookmarkStart w:id="0" w:name="_Toc129069614"/>
      <w:r>
        <w:rPr>
          <w:rFonts w:cs="Times New Roman"/>
          <w:b/>
          <w:sz w:val="22"/>
        </w:rPr>
        <w:t>ABSTRAK</w:t>
      </w:r>
    </w:p>
    <w:p>
      <w:pPr>
        <w:pStyle w:val="2"/>
        <w:rPr>
          <w:lang w:val="id-ID"/>
        </w:rPr>
      </w:pPr>
    </w:p>
    <w:p>
      <w:pPr>
        <w:tabs>
          <w:tab w:val="left" w:pos="851"/>
        </w:tabs>
        <w:spacing w:after="0" w:line="240" w:lineRule="auto"/>
        <w:rPr>
          <w:rFonts w:cs="Times New Roman"/>
          <w:sz w:val="22"/>
          <w:lang w:val="id-ID"/>
        </w:rPr>
      </w:pPr>
      <w:r>
        <w:rPr>
          <w:rFonts w:cs="Times New Roman"/>
          <w:sz w:val="22"/>
        </w:rPr>
        <w:t xml:space="preserve">Anemia </w:t>
      </w:r>
      <w:r>
        <w:rPr>
          <w:rFonts w:cs="Times New Roman"/>
          <w:sz w:val="22"/>
          <w:lang w:val="id-ID"/>
        </w:rPr>
        <w:t>merupakan</w:t>
      </w:r>
      <w:r>
        <w:rPr>
          <w:rFonts w:cs="Times New Roman"/>
          <w:sz w:val="22"/>
        </w:rPr>
        <w:t xml:space="preserve"> kondisi </w:t>
      </w:r>
      <w:r>
        <w:rPr>
          <w:rFonts w:cs="Times New Roman"/>
          <w:sz w:val="22"/>
          <w:lang w:val="id-ID"/>
        </w:rPr>
        <w:t>berkurangnya sel darah merah</w:t>
      </w:r>
      <w:r>
        <w:rPr>
          <w:rFonts w:cs="Times New Roman"/>
          <w:sz w:val="22"/>
        </w:rPr>
        <w:t xml:space="preserve">, </w:t>
      </w:r>
      <w:r>
        <w:rPr>
          <w:rFonts w:cs="Times New Roman"/>
          <w:sz w:val="22"/>
          <w:lang w:val="id-ID"/>
        </w:rPr>
        <w:t xml:space="preserve">yang disebabkan penurunan kadar hemoglobin (Hb). Proses pembentukan Hb membutuhkan protein dan zat besi yang cukup dalam tubuh. Prevalensi global anemia tahun 2019 adalah 29.9% pada wanita subur (15-49 tahun). Dampak anemia adalah penurunan imunitas, konsentrasi, kebugaran fisik remaja, produktifitas dan perfusi perifer tidak efektif. Salah satu penyebab perfusi perifer tidak efektif adalah penurunan konsentrasi Hb. </w:t>
      </w:r>
      <w:r>
        <w:rPr>
          <w:rFonts w:cs="Times New Roman"/>
          <w:sz w:val="22"/>
        </w:rPr>
        <w:t>Salah satu tindakan non</w:t>
      </w:r>
      <w:r>
        <w:rPr>
          <w:rFonts w:cs="Times New Roman"/>
          <w:sz w:val="22"/>
          <w:lang w:val="id-ID"/>
        </w:rPr>
        <w:t>-</w:t>
      </w:r>
      <w:r>
        <w:rPr>
          <w:rFonts w:cs="Times New Roman"/>
          <w:sz w:val="22"/>
        </w:rPr>
        <w:t>farmakologis mengatasi perfusi perifer tidak efektif</w:t>
      </w:r>
      <w:r>
        <w:rPr>
          <w:rFonts w:cs="Times New Roman"/>
          <w:sz w:val="22"/>
          <w:lang w:val="id-ID"/>
        </w:rPr>
        <w:t xml:space="preserve"> adalah </w:t>
      </w:r>
      <w:r>
        <w:rPr>
          <w:rFonts w:cs="Times New Roman"/>
          <w:sz w:val="22"/>
        </w:rPr>
        <w:t xml:space="preserve">dengan melakukan </w:t>
      </w:r>
      <w:r>
        <w:rPr>
          <w:rFonts w:cs="Times New Roman"/>
          <w:sz w:val="22"/>
          <w:lang w:val="id-ID"/>
        </w:rPr>
        <w:t xml:space="preserve">perawatan sirkulasi yang berfokus pada edukasi diit pemberian jus buah bit (Beta vulgaris l.). Buah bit mengandung asam lemak jenuh 0,03, asam folat 34%, Fe 7,4% dan kandungan lain, bermanfaat untuk memperbaiki sirkulasi serta meningkatkan Hb. Tujuan penelitian untuk memberikan gambaran tentang efektifitas jus buah bit (Beta vulgaris l.) dalam mengatasi perfusi perifer tidak efektif pada anemia. Metode penelitian menggunakan studi kasus. Hasil penelitian kedua responden setelah diberikan jus buah bit selama 7 hari, mengalami peningkatan perfusi perifer dan Hb. Responden 1 dari kadar Hb 8.5 mg/dL menjadi 12.1 mg/dL dan responden 2 Hb 9.5 mg/dL menjadi 12.4 mg/dL. Kesimpulannya, pemberian jus buah bit (Beta vulgaris l.) efektif mengatasi perfusi perifer tidak efektif pada anemia. </w:t>
      </w:r>
    </w:p>
    <w:p>
      <w:pPr>
        <w:pStyle w:val="2"/>
        <w:rPr>
          <w:rFonts w:cs="Times New Roman"/>
          <w:sz w:val="22"/>
          <w:lang w:val="id-ID"/>
        </w:rPr>
      </w:pPr>
    </w:p>
    <w:p>
      <w:pPr>
        <w:spacing w:after="0" w:line="240" w:lineRule="auto"/>
        <w:rPr>
          <w:rFonts w:cs="Times New Roman"/>
          <w:i/>
          <w:sz w:val="22"/>
          <w:lang w:val="id-ID"/>
        </w:rPr>
      </w:pPr>
      <w:r>
        <w:rPr>
          <w:rFonts w:cs="Times New Roman"/>
          <w:b/>
          <w:sz w:val="22"/>
          <w:lang w:val="id-ID"/>
        </w:rPr>
        <w:t>Kata Kunci</w:t>
      </w:r>
      <w:r>
        <w:rPr>
          <w:rFonts w:cs="Times New Roman"/>
          <w:sz w:val="22"/>
          <w:lang w:val="id-ID"/>
        </w:rPr>
        <w:t xml:space="preserve"> : Anemia, Jus Buah Bit (</w:t>
      </w:r>
      <w:r>
        <w:rPr>
          <w:rFonts w:cs="Times New Roman"/>
          <w:i/>
          <w:sz w:val="22"/>
          <w:lang w:val="id-ID"/>
        </w:rPr>
        <w:t>Beta vulgaris l.)</w:t>
      </w:r>
      <w:r>
        <w:rPr>
          <w:rFonts w:cs="Times New Roman"/>
          <w:sz w:val="22"/>
          <w:lang w:val="id-ID"/>
        </w:rPr>
        <w:t>, Perfusi Perifer Tidak Efektif</w:t>
      </w:r>
    </w:p>
    <w:p>
      <w:pPr>
        <w:spacing w:line="240" w:lineRule="auto"/>
        <w:rPr>
          <w:rFonts w:cs="Times New Roman"/>
          <w:sz w:val="22"/>
          <w:lang w:val="id-ID"/>
        </w:rPr>
      </w:pPr>
    </w:p>
    <w:p>
      <w:pPr>
        <w:pStyle w:val="2"/>
        <w:jc w:val="center"/>
        <w:rPr>
          <w:b/>
          <w:i/>
          <w:lang w:val="id-ID"/>
        </w:rPr>
      </w:pPr>
      <w:r>
        <w:rPr>
          <w:b/>
          <w:i/>
          <w:lang w:val="id-ID"/>
        </w:rPr>
        <w:t>EFFECTIVENESS OF GIVING BEETROOT JUICE (Beta vulgaris l.) TO TREATMENT OF PERIPHERAL TISSUE PERFUSION INEFFECTIVENESS IN ANEMIA IN ROWO</w:t>
      </w:r>
    </w:p>
    <w:p>
      <w:pPr>
        <w:pStyle w:val="2"/>
        <w:jc w:val="center"/>
        <w:rPr>
          <w:b/>
          <w:i/>
          <w:lang w:val="id-ID"/>
        </w:rPr>
      </w:pPr>
      <w:r>
        <w:rPr>
          <w:b/>
          <w:i/>
          <w:lang w:val="id-ID"/>
        </w:rPr>
        <w:t>VILLAGE KANDANGAN SUB-DISTRICT</w:t>
      </w:r>
    </w:p>
    <w:p>
      <w:pPr>
        <w:pStyle w:val="2"/>
        <w:jc w:val="center"/>
        <w:rPr>
          <w:b/>
          <w:i/>
          <w:lang w:val="id-ID"/>
        </w:rPr>
      </w:pPr>
    </w:p>
    <w:p>
      <w:pPr>
        <w:spacing w:after="0" w:line="240" w:lineRule="auto"/>
        <w:jc w:val="center"/>
        <w:rPr>
          <w:rFonts w:cs="Times New Roman"/>
          <w:b/>
          <w:i/>
          <w:sz w:val="22"/>
          <w:lang w:val="id-ID"/>
        </w:rPr>
      </w:pPr>
      <w:r>
        <w:rPr>
          <w:rFonts w:cs="Times New Roman"/>
          <w:b/>
          <w:i/>
          <w:sz w:val="22"/>
        </w:rPr>
        <w:t>ABSTRACT</w:t>
      </w:r>
    </w:p>
    <w:p>
      <w:pPr>
        <w:pStyle w:val="2"/>
        <w:rPr>
          <w:lang w:val="id-ID"/>
        </w:rPr>
      </w:pPr>
    </w:p>
    <w:p>
      <w:pPr>
        <w:pStyle w:val="2"/>
        <w:rPr>
          <w:rFonts w:cs="Times New Roman"/>
          <w:i/>
          <w:sz w:val="22"/>
          <w:lang w:val="id-ID"/>
        </w:rPr>
      </w:pPr>
      <w:r>
        <w:rPr>
          <w:rFonts w:cs="Times New Roman"/>
          <w:i/>
          <w:sz w:val="22"/>
          <w:lang w:val="id-ID"/>
        </w:rPr>
        <w:t xml:space="preserve">Anemia is a condition of reduced red blood cells, which is caused by a decrease in hemoglobin (Hb) levels. The formation of Hb requires sufficient protein and iron in the body. The global prevalence of anemia in 2019 was 29.9% in fertile women (15-49 years). The impact of anemia is a decrease in immunity, concentration, adolescent physical fitness, productivity and ineffective peripheral perfusion. One of the causes of ineffective peripheral perfusion is a decrease in Hb concentration. One of the non-pharmacological measures to overcome ineffective peripheral perfusion is to carry out circulatory treatments that focus on diet education by giving beet juice (Beta vulgaris l.). Beetroot contains 0.03 saturated fatty acids, 34% folic acid, 7.4% Fe and other content, beneficial to improve circulation and increase Hb. The purpose of the study was to provide an overview of the effectiveness of beet fruit juice (Beta vulgaris l.) in overcoming ineffective peripheral perfusion in anemia. The research method uses case studies. The results of the study of the two respondents after being given beet juice for 7 days, experienced an increase in peripheral perfusion and Hb. Respondent 1 from Hb level 8.5 mg/dL to 12.1 mg/dL and respondent 2 Hb 9.5 mg/dL to 12.4 mg/dL. In conclusion, the administration of beet fruit juice (Beta vulgaris l.) is effective in overcoming peripheral perfusion is not effective in anemia. </w:t>
      </w:r>
    </w:p>
    <w:p>
      <w:pPr>
        <w:pStyle w:val="2"/>
        <w:rPr>
          <w:rFonts w:cs="Times New Roman"/>
          <w:i/>
          <w:sz w:val="22"/>
          <w:lang w:val="id-ID"/>
        </w:rPr>
      </w:pPr>
    </w:p>
    <w:p>
      <w:pPr>
        <w:pStyle w:val="2"/>
        <w:rPr>
          <w:rFonts w:cs="Times New Roman"/>
          <w:sz w:val="22"/>
          <w:lang w:val="id-ID"/>
        </w:rPr>
      </w:pPr>
    </w:p>
    <w:p>
      <w:pPr>
        <w:pStyle w:val="2"/>
        <w:jc w:val="center"/>
        <w:rPr>
          <w:i/>
          <w:lang w:val="id-ID"/>
        </w:rPr>
      </w:pPr>
      <w:r>
        <w:rPr>
          <w:rFonts w:cs="Times New Roman"/>
          <w:b/>
          <w:i/>
          <w:sz w:val="22"/>
          <w:lang w:val="id-ID"/>
        </w:rPr>
        <w:t>Keywords</w:t>
      </w:r>
      <w:r>
        <w:rPr>
          <w:rFonts w:cs="Times New Roman"/>
          <w:i/>
          <w:sz w:val="22"/>
          <w:lang w:val="id-ID"/>
        </w:rPr>
        <w:t xml:space="preserve"> : Anemia, Beetroot Juice (Beta vulgaris l.), </w:t>
      </w:r>
      <w:r>
        <w:rPr>
          <w:rFonts w:cs="Times New Roman"/>
          <w:i/>
          <w:sz w:val="22"/>
        </w:rPr>
        <w:t>Peripheral Tissue Perfusion Ineffectiveness</w:t>
      </w:r>
    </w:p>
    <w:bookmarkEnd w:id="0"/>
    <w:p>
      <w:pPr>
        <w:pStyle w:val="2"/>
        <w:rPr>
          <w:rFonts w:cs="Times New Roman"/>
          <w:sz w:val="22"/>
          <w:lang w:val="id-ID"/>
        </w:rPr>
      </w:pPr>
    </w:p>
    <w:p>
      <w:pPr>
        <w:pStyle w:val="2"/>
        <w:spacing w:line="360" w:lineRule="auto"/>
        <w:rPr>
          <w:rFonts w:cs="Times New Roman"/>
          <w:sz w:val="22"/>
          <w:lang w:val="id-ID"/>
        </w:rPr>
      </w:pPr>
      <w:r>
        <w:rPr>
          <w:rFonts w:cs="Times New Roman"/>
          <w:b/>
          <w:sz w:val="22"/>
          <w:lang w:val="id-ID"/>
        </w:rPr>
        <w:t>PENDAHULUAN</w:t>
      </w:r>
    </w:p>
    <w:p>
      <w:pPr>
        <w:pStyle w:val="2"/>
        <w:spacing w:line="360" w:lineRule="auto"/>
        <w:ind w:firstLine="426"/>
        <w:rPr>
          <w:rFonts w:cs="Times New Roman"/>
          <w:sz w:val="22"/>
          <w:lang w:val="id-ID"/>
        </w:rPr>
      </w:pPr>
      <w:r>
        <w:rPr>
          <w:rFonts w:cs="Times New Roman"/>
          <w:sz w:val="22"/>
          <w:lang w:val="id-ID"/>
        </w:rPr>
        <w:t xml:space="preserve">Anemia dikatakan sebagai kondisi berkurangnya sel darah merah (SDM), indikator nya yaitu jumlah hemoglobin, SDM, dan hematokrit menurun. Proses pembentukan Hb membutuhkan protein dan zat besi yang cukup dalam tubuh. Pada dasarnya, anemia dipengaruhi langsung oleh asupan makanan rendah zat besi. World Health Organization (WHO) dalam Global Health Observatory pada tahun 2019 melaporkan prevalensi global anemia mencapai </w:t>
      </w:r>
      <w:r>
        <w:rPr>
          <w:rFonts w:cs="Times New Roman"/>
          <w:sz w:val="22"/>
        </w:rPr>
        <w:t xml:space="preserve">persentase sebesar </w:t>
      </w:r>
      <w:r>
        <w:rPr>
          <w:rFonts w:cs="Times New Roman"/>
          <w:sz w:val="22"/>
          <w:lang w:val="id-ID"/>
        </w:rPr>
        <w:t xml:space="preserve">29,9 % </w:t>
      </w:r>
      <w:r>
        <w:rPr>
          <w:rFonts w:cs="Times New Roman"/>
          <w:sz w:val="22"/>
        </w:rPr>
        <w:t xml:space="preserve">untuk wanita di usia subur yang mana diantaranya didominasi oleh lebih dari setengah milyar wanita usia 15 sampai 49 tahun. Sedangkan persentase pengidap anemia yang merupakan wanita tidak hamil di usia subur mencapai 29,6% </w:t>
      </w:r>
      <w:r>
        <w:rPr>
          <w:rFonts w:cs="Times New Roman"/>
          <w:sz w:val="22"/>
          <w:lang w:val="id-ID"/>
        </w:rPr>
        <w:fldChar w:fldCharType="begin"/>
      </w:r>
      <w:r>
        <w:rPr>
          <w:rFonts w:cs="Times New Roman"/>
          <w:sz w:val="22"/>
          <w:lang w:val="id-ID"/>
        </w:rPr>
        <w:instrText xml:space="preserve">ADDIN CSL_CITATION {"citationItems":[{"id":"ITEM-1","itemData":{"URL":"https://www.who.int/data/gho/data/themes/topics/anaemia_in_women_and_children","accessed":{"date-parts":[["2022","8","30"]]},"author":[{"dropping-particle":"","family":"Global Health Observatory","given":"","non-dropping-particle":"","parse-names":false,"suffix":""}],"container-title":"World Health Organization","id":"ITEM-1","issued":{"date-parts":[["2021"]]},"title":"Anaemia in Women and Children","type":"webpage"},"uris":["http://www.mendeley.com/documents/?uuid=20167d4a-2c85-4ce6-a631-7fbb51c8f68c"]}],"mendeley":{"formattedCitation":"(Global Health Observatory, 2021)","plainTextFormattedCitation":"(Global Health Observatory, 2021)","previouslyFormattedCitation":"(Global Health Observatory, 2021)"},"properties":{"noteIndex":0},"schema":"https://github.com/citation-style-language/schema/raw/master/csl-citation.json"}</w:instrText>
      </w:r>
      <w:r>
        <w:rPr>
          <w:rFonts w:cs="Times New Roman"/>
          <w:sz w:val="22"/>
          <w:lang w:val="id-ID"/>
        </w:rPr>
        <w:fldChar w:fldCharType="separate"/>
      </w:r>
      <w:r>
        <w:rPr>
          <w:rFonts w:cs="Times New Roman"/>
          <w:sz w:val="22"/>
          <w:lang w:val="id-ID"/>
        </w:rPr>
        <w:t>(Global Health Observatory, 2021)</w:t>
      </w:r>
      <w:r>
        <w:rPr>
          <w:rFonts w:cs="Times New Roman"/>
          <w:sz w:val="22"/>
          <w:lang w:val="id-ID"/>
        </w:rPr>
        <w:fldChar w:fldCharType="end"/>
      </w:r>
      <w:r>
        <w:rPr>
          <w:rFonts w:cs="Times New Roman"/>
          <w:sz w:val="22"/>
          <w:lang w:val="id-ID"/>
        </w:rPr>
        <w:t>. Laporan data Riskesdas tahun 2018 mengalami peningkatan 11,8 % dari tahun 2013 yaitu 48,9 % pada rentang umur 15-54 tahun</w:t>
      </w:r>
      <w:r>
        <w:rPr>
          <w:rFonts w:cs="Times New Roman"/>
          <w:sz w:val="22"/>
          <w:lang w:val="id-ID"/>
        </w:rPr>
        <w:fldChar w:fldCharType="begin"/>
      </w:r>
      <w:r>
        <w:rPr>
          <w:rFonts w:cs="Times New Roman"/>
          <w:sz w:val="22"/>
          <w:lang w:val="id-ID"/>
        </w:rPr>
        <w:instrText xml:space="preserve">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approach.","author":[{"dropping-particle":"","family":"Kemenkes RI","given":"","non-dropping-particle":"","parse-names":false,"suffix":""}],"container-title":"Kementrian Kesehatan RI","id":"ITEM-1","issue":"9","issued":{"date-parts":[["2018"]]},"number-of-pages":"1689-1699","title":"Hasil Utama RISKESDAS 2018","type":"report","volume":"53"},"uris":["http://www.mendeley.com/documents/?uuid=2b901950-831a-4414-ab0b-0a311442cffd"]}],"mendeley":{"formattedCitation":"(Kemenkes RI, 2018a)","plainTextFormattedCitation":"(Kemenkes RI, 2018a)","previouslyFormattedCitation":"(Kemenkes RI, 2018a)"},"properties":{"noteIndex":0},"schema":"https://github.com/citation-style-language/schema/raw/master/csl-citation.json"}</w:instrText>
      </w:r>
      <w:r>
        <w:rPr>
          <w:rFonts w:cs="Times New Roman"/>
          <w:sz w:val="22"/>
          <w:lang w:val="id-ID"/>
        </w:rPr>
        <w:fldChar w:fldCharType="separate"/>
      </w:r>
      <w:r>
        <w:rPr>
          <w:rFonts w:cs="Times New Roman"/>
          <w:sz w:val="22"/>
          <w:lang w:val="id-ID"/>
        </w:rPr>
        <w:t>(Kemenkes RI, 2018a)</w:t>
      </w:r>
      <w:r>
        <w:rPr>
          <w:rFonts w:cs="Times New Roman"/>
          <w:sz w:val="22"/>
          <w:lang w:val="id-ID"/>
        </w:rPr>
        <w:fldChar w:fldCharType="end"/>
      </w:r>
      <w:r>
        <w:rPr>
          <w:rFonts w:cs="Times New Roman"/>
          <w:sz w:val="22"/>
          <w:lang w:val="id-ID"/>
        </w:rPr>
        <w:t xml:space="preserve">. Artinya anemia pada wanita masih perlu diperhatikan dengan seksama sebab </w:t>
      </w:r>
      <w:r>
        <w:rPr>
          <w:rFonts w:cs="Times New Roman"/>
          <w:sz w:val="22"/>
        </w:rPr>
        <w:t>menjadi</w:t>
      </w:r>
      <w:r>
        <w:rPr>
          <w:rFonts w:cs="Times New Roman"/>
          <w:sz w:val="22"/>
          <w:lang w:val="id-ID"/>
        </w:rPr>
        <w:t xml:space="preserve"> salah satu masalah kesehatan yang kerap </w:t>
      </w:r>
      <w:r>
        <w:rPr>
          <w:rFonts w:cs="Times New Roman"/>
          <w:sz w:val="22"/>
        </w:rPr>
        <w:t xml:space="preserve">ditemukan. </w:t>
      </w:r>
      <w:r>
        <w:rPr>
          <w:rFonts w:cs="Times New Roman"/>
          <w:sz w:val="22"/>
          <w:lang w:val="id-ID"/>
        </w:rPr>
        <w:t xml:space="preserve"> </w:t>
      </w:r>
    </w:p>
    <w:p>
      <w:pPr>
        <w:pStyle w:val="2"/>
        <w:spacing w:line="360" w:lineRule="auto"/>
        <w:ind w:firstLine="426"/>
        <w:rPr>
          <w:rFonts w:cs="Times New Roman"/>
          <w:sz w:val="22"/>
          <w:lang w:val="id-ID"/>
        </w:rPr>
      </w:pPr>
      <w:r>
        <w:rPr>
          <w:rFonts w:cs="Times New Roman"/>
          <w:sz w:val="22"/>
          <w:lang w:val="id-ID"/>
        </w:rPr>
        <w:t>Dampak buruk anemia bagi wanita adalah penurunan kekebalan tubuh/ imunitas, mengakibatkan rentan terkena penyakit, menurunnya prestasi dan konsentrasi belajar, produktivitas, dan kesehatan raga/fisik. Lebih dari itu apabila wanita mengidap anemia maka ia akan terdampak hal yang serius yaitu meningkatnya resiko kematian sang Ibu ketika wanita tersebut melahirkan, atau bisa pula berupa kecilnya berat badan bayi saat lahir (BBLR) maupun resiko melahirkan bayi yang prematur</w:t>
      </w:r>
      <w:r>
        <w:rPr>
          <w:rFonts w:cs="Times New Roman"/>
          <w:sz w:val="22"/>
          <w:lang w:val="id-ID"/>
        </w:rPr>
        <w:fldChar w:fldCharType="begin"/>
      </w:r>
      <w:r>
        <w:rPr>
          <w:rFonts w:cs="Times New Roman"/>
          <w:sz w:val="22"/>
          <w:lang w:val="id-ID"/>
        </w:rPr>
        <w:instrText xml:space="preserve">ADDIN CSL_CITATION {"citationItems":[{"id":"ITEM-1","itemData":{"URL":"https://www.kemkes.go.id/article/print/18051600005/kenali-masalah-gizi-yang-ancam-remaja-indonesia.html#:~:text=Remaja Kurang Zat Besi (Anemia)&amp;text=Anemia pada remaja berdampak buruk,belajar%2C kebugaran remaja dan produktifitas.","accessed":{"date-parts":[["2022","9","4"]]},"author":[{"dropping-particle":"","family":"Kemenkes RI","given":"","non-dropping-particle":"","parse-names":false,"suffix":""}],"container-title":"Kementrian Kesehatan Republik Indonesia","id":"ITEM-1","issued":{"date-parts":[["2018"]]},"title":"Kenali Masalah Gizi yang Ancam Remaja Indonesia","type":"webpage"},"uris":["http://www.mendeley.com/documents/?uuid=a5d6cb2a-b520-46a9-85eb-b921f0cdf46d"]},{"id":"ITEM-2","itemData":{"URL":"https://www.kompas.com/edu/read/2021/10/05/202957271/waspadai-dampak-anemia-pada-remaja-putri-ini-penjelasan-dosen-ipb?page=all","accessed":{"date-parts":[["2022","9","4"]]},"author":[{"dropping-particle":"","family":"Kompas.com","given":"","non-dropping-particle":"","parse-names":false,"suffix":""}],"container-title":"Kompas.com","id":"ITEM-2","issued":{"date-parts":[["2021"]]},"title":"Waspadai Dampak Anemia pada Remaja","type":"webpage"},"uris":["http://www.mendeley.com/documents/?uuid=e1d748bf-2cef-404a-b7e9-7f67364247ef"]}],"mendeley":{"formattedCitation":"(Kemenkes RI, 2018b; Kompas.com, 2021)","plainTextFormattedCitation":"(Kemenkes RI, 2018b; Kompas.com, 2021)","previouslyFormattedCitation":"(Kemenkes RI, 2018b; Kompas.com, 2021)"},"properties":{"noteIndex":0},"schema":"https://github.com/citation-style-language/schema/raw/master/csl-citation.json"}</w:instrText>
      </w:r>
      <w:r>
        <w:rPr>
          <w:rFonts w:cs="Times New Roman"/>
          <w:sz w:val="22"/>
          <w:lang w:val="id-ID"/>
        </w:rPr>
        <w:fldChar w:fldCharType="separate"/>
      </w:r>
      <w:r>
        <w:rPr>
          <w:rFonts w:cs="Times New Roman"/>
          <w:sz w:val="22"/>
          <w:lang w:val="id-ID"/>
        </w:rPr>
        <w:t>(Kemenkes RI, 2018b; Kompas.com, 2021)</w:t>
      </w:r>
      <w:r>
        <w:rPr>
          <w:rFonts w:cs="Times New Roman"/>
          <w:sz w:val="22"/>
          <w:lang w:val="id-ID"/>
        </w:rPr>
        <w:fldChar w:fldCharType="end"/>
      </w:r>
      <w:r>
        <w:rPr>
          <w:rFonts w:cs="Times New Roman"/>
          <w:sz w:val="22"/>
          <w:lang w:val="id-ID"/>
        </w:rPr>
        <w:t xml:space="preserve">. Masalah keperawatan dapat muncul pada anemia diantaranya intoleransi aktivitas, nyeri akut, penurunan curah jantung dan perfusi perifer tidak efektif </w:t>
      </w:r>
      <w:r>
        <w:rPr>
          <w:rFonts w:cs="Times New Roman"/>
          <w:sz w:val="22"/>
          <w:lang w:val="id-ID"/>
        </w:rPr>
        <w:fldChar w:fldCharType="begin"/>
      </w:r>
      <w:r>
        <w:rPr>
          <w:rFonts w:cs="Times New Roman"/>
          <w:sz w:val="22"/>
          <w:lang w:val="id-ID"/>
        </w:rPr>
        <w:instrText xml:space="preserve">ADDIN CSL_CITATION {"citationItems":[{"id":"ITEM-1","itemData":{"author":[{"dropping-particle":"","family":"LeMone","given":"Priscilia","non-dropping-particle":"","parse-names":false,"suffix":""},{"dropping-particle":"","family":"Burke","given":"Karen M.","non-dropping-particle":"","parse-names":false,"suffix":""},{"dropping-particle":"","family":"Bauldoff","given":"Gerene","non-dropping-particle":"","parse-names":false,"suffix":""}],"chapter-number":"Vol 3","container-title":"Buku Ajar Keperawatan Medikal Bedah : Gangguan Eliminasi dan Gangguan Kardiovaskular","edition":"Edisi 5","editor":[{"dropping-particle":"","family":"Linda","given":"Ayu","non-dropping-particle":"","parse-names":false,"suffix":""}],"id":"ITEM-1","issued":{"date-parts":[["2015"]]},"page":"961-1388","publisher":"EGC","publisher-place":"Jakarta","title":"Buku Ajar Keperawatan Medikal Bedah","type":"chapter"},"uris":["http://www.mendeley.com/documents/?uuid=b2164a71-ef9a-4f4f-927b-74c53f247588"]},{"id":"ITEM-2","itemData":{"author":[{"dropping-particle":"","family":"PPNI","given":"","non-dropping-particle":"","parse-names":false,"suffix":""}],"edition":"1","id":"ITEM-2","issued":{"date-parts":[["2017"]]},"publisher":"DPP PPNI","publisher-place":"Jakarta","title":"Standar Diagnosis Keperawatan Indonesia : Definisi dan Indikator Diagnostik","type":"book"},"uris":["http://www.mendeley.com/documents/?uuid=711b186b-2a24-3de2-b060-61fa448dbeeb"]},{"id":"ITEM-3","itemData":{"author":[{"dropping-particle":"","family":"Mubin","given":"A Halim","non-dropping-particle":"","parse-names":false,"suffix":""}],"edition":"3","editor":[{"dropping-particle":"","family":"Suyono","given":"Y Joko","non-dropping-particle":"","parse-names":false,"suffix":""}],"id":"ITEM-3","issued":{"date-parts":[["2014"]]},"publisher":"EGC","publisher-place":"Jakarta","title":"Paduan Praktis Ilmu Penyakit Dalam","type":"book"},"uris":["http://www.mendeley.com/documents/?uuid=5efc5bc0-c451-4c2f-b1d1-39659af7b0e2"]},{"id":"ITEM-4","itemData":{"author":[{"dropping-particle":"","family":"Smeltzer","given":"","non-dropping-particle":"","parse-names":false,"suffix":""},{"dropping-particle":"","family":"Bare's","given":"","non-dropping-particle":"","parse-names":false,"suffix":""}],"edition":"4","editor":[{"dropping-particle":"","family":"Farrell","given":"Maureen","non-dropping-particle":"","parse-names":false,"suffix":""}],"id":"ITEM-4","issued":{"date-parts":[["2017"]]},"publisher":"Wolters Kluwer","publisher-place":"China","title":"Smeltzer &amp; Bare's Textbook of Medical-Surgical Nursing ","type":"book","volume":"1"},"uris":["http://www.mendeley.com/documents/?uuid=030299b3-ff05-3732-8236-04b445b86743"]}],"mendeley":{"formattedCitation":"(LeMone et al., 2015; Mubin, 2014; PPNI, 2017; Smeltzer &amp; Bare’s, 2017)","plainTextFormattedCitation":"(LeMone et al., 2015; Mubin, 2014; PPNI, 2017; Smeltzer &amp; Bare’s, 2017)","previouslyFormattedCitation":"(LeMone et al., 2015; Mubin, 2014; PPNI, 2017; Smeltzer &amp; Bare’s, 2017)"},"properties":{"noteIndex":0},"schema":"https://github.com/citation-style-language/schema/raw/master/csl-citation.json"}</w:instrText>
      </w:r>
      <w:r>
        <w:rPr>
          <w:rFonts w:cs="Times New Roman"/>
          <w:sz w:val="22"/>
          <w:lang w:val="id-ID"/>
        </w:rPr>
        <w:fldChar w:fldCharType="separate"/>
      </w:r>
      <w:r>
        <w:rPr>
          <w:rFonts w:cs="Times New Roman"/>
          <w:sz w:val="22"/>
          <w:lang w:val="id-ID"/>
        </w:rPr>
        <w:t>(LeMone et al., 2015; Mubin, 2014; PPNI, 2017; Smeltzer &amp; Bare’s, 2017)</w:t>
      </w:r>
      <w:r>
        <w:rPr>
          <w:rFonts w:cs="Times New Roman"/>
          <w:sz w:val="22"/>
          <w:lang w:val="id-ID"/>
        </w:rPr>
        <w:fldChar w:fldCharType="end"/>
      </w:r>
      <w:r>
        <w:rPr>
          <w:rFonts w:cs="Times New Roman"/>
          <w:sz w:val="22"/>
          <w:lang w:val="id-ID"/>
        </w:rPr>
        <w:t>. Perfusi perifer tidak efektif adalah suatu situasi dimana sirkulasi darah menurun pada level kapiler sehingga bisa mengakibatkan gangguan pada metabolisme tubuh secara keseluruhan. Salah satu penyebabnya adalah penurunan konsentrasi Hb. Beberapa tanda umum perfusi perifer tidak efektif yaitu nadi perifer menurun atau t</w:t>
      </w:r>
      <w:r>
        <w:rPr>
          <w:rFonts w:cs="Times New Roman"/>
          <w:sz w:val="22"/>
        </w:rPr>
        <w:t>ak</w:t>
      </w:r>
      <w:r>
        <w:rPr>
          <w:rFonts w:cs="Times New Roman"/>
          <w:sz w:val="22"/>
          <w:lang w:val="id-ID"/>
        </w:rPr>
        <w:t xml:space="preserve"> teraba, pengisian kapiler &gt; 3 detik, </w:t>
      </w:r>
      <w:r>
        <w:rPr>
          <w:rFonts w:cs="Times New Roman"/>
          <w:sz w:val="22"/>
        </w:rPr>
        <w:t>akral terasa dingin, turunnya turgor kulit, dan memucatnya warna kulit</w:t>
      </w:r>
      <w:r>
        <w:rPr>
          <w:rFonts w:cs="Times New Roman"/>
          <w:sz w:val="22"/>
          <w:lang w:val="id-ID"/>
        </w:rPr>
        <w:fldChar w:fldCharType="begin"/>
      </w:r>
      <w:r>
        <w:rPr>
          <w:rFonts w:cs="Times New Roman"/>
          <w:sz w:val="22"/>
          <w:lang w:val="id-ID"/>
        </w:rPr>
        <w:instrText xml:space="preserve">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Pr>
          <w:rFonts w:cs="Times New Roman"/>
          <w:sz w:val="22"/>
          <w:lang w:val="id-ID"/>
        </w:rPr>
        <w:fldChar w:fldCharType="separate"/>
      </w:r>
      <w:r>
        <w:rPr>
          <w:rFonts w:cs="Times New Roman"/>
          <w:sz w:val="22"/>
          <w:lang w:val="id-ID"/>
        </w:rPr>
        <w:t>(PPNI, 2017)</w:t>
      </w:r>
      <w:r>
        <w:rPr>
          <w:rFonts w:cs="Times New Roman"/>
          <w:sz w:val="22"/>
          <w:lang w:val="id-ID"/>
        </w:rPr>
        <w:fldChar w:fldCharType="end"/>
      </w:r>
      <w:r>
        <w:rPr>
          <w:rFonts w:cs="Times New Roman"/>
          <w:sz w:val="22"/>
          <w:lang w:val="id-ID"/>
        </w:rPr>
        <w:t>. Munculnya masalah keperawatan ini disebabkan oleh kapasitas pengangkutan oksigen darah berkurang akibat dari defisiensi Hb atau SDM</w:t>
      </w:r>
      <w:r>
        <w:rPr>
          <w:rFonts w:cs="Times New Roman"/>
          <w:sz w:val="22"/>
          <w:lang w:val="id-ID"/>
        </w:rPr>
        <w:fldChar w:fldCharType="begin"/>
      </w:r>
      <w:r>
        <w:rPr>
          <w:rFonts w:cs="Times New Roman"/>
          <w:sz w:val="22"/>
          <w:lang w:val="id-ID"/>
        </w:rPr>
        <w:instrText xml:space="preserve">ADDIN CSL_CITATION {"citationItems":[{"id":"ITEM-1","itemData":{"author":[{"dropping-particle":"","family":"LeMone","given":"Priscilia","non-dropping-particle":"","parse-names":false,"suffix":""},{"dropping-particle":"","family":"Burke","given":"Karen M.","non-dropping-particle":"","parse-names":false,"suffix":""},{"dropping-particle":"","family":"Bauldoff","given":"Gerene","non-dropping-particle":"","parse-names":false,"suffix":""}],"edition":"5","id":"ITEM-1","issued":{"date-parts":[["2016"]]},"publisher":"Penerbit Buku Kedokteran EGC","publisher-place":"Jakarta","title":"Buku Ajar Keperawatan Medikal Bedah","type":"book"},"uris":["http://www.mendeley.com/documents/?uuid=d2f00f3a-c5ee-4b63-be50-39234a74f93b"]}],"mendeley":{"formattedCitation":"(LeMone et al., 2016)","plainTextFormattedCitation":"(LeMone et al., 2016)","previouslyFormattedCitation":"(LeMone et al., 2016)"},"properties":{"noteIndex":0},"schema":"https://github.com/citation-style-language/schema/raw/master/csl-citation.json"}</w:instrText>
      </w:r>
      <w:r>
        <w:rPr>
          <w:rFonts w:cs="Times New Roman"/>
          <w:sz w:val="22"/>
          <w:lang w:val="id-ID"/>
        </w:rPr>
        <w:fldChar w:fldCharType="separate"/>
      </w:r>
      <w:r>
        <w:rPr>
          <w:rFonts w:cs="Times New Roman"/>
          <w:sz w:val="22"/>
          <w:lang w:val="id-ID"/>
        </w:rPr>
        <w:t>(LeMone et al., 2016)</w:t>
      </w:r>
      <w:r>
        <w:rPr>
          <w:rFonts w:cs="Times New Roman"/>
          <w:sz w:val="22"/>
          <w:lang w:val="id-ID"/>
        </w:rPr>
        <w:fldChar w:fldCharType="end"/>
      </w:r>
      <w:r>
        <w:rPr>
          <w:rFonts w:cs="Times New Roman"/>
          <w:sz w:val="22"/>
          <w:lang w:val="id-ID"/>
        </w:rPr>
        <w:t>. Jika tidak segera ditangani, perfusi perifer tidak efektif dapat menyebabkan gangguan aliran darah ginjal, risiko gagal ginjal akut, gangguan pencernaan/ gastrointestinal, risiko ileus, metabolisme anaerob, asidosis metabolik, kerusakan jaringan, potensi nekrosis jaringan, disfungsi seluler dan pembengkakan sel</w:t>
      </w:r>
      <w:r>
        <w:rPr>
          <w:rFonts w:cs="Times New Roman"/>
          <w:sz w:val="22"/>
          <w:lang w:val="id-ID"/>
        </w:rPr>
        <w:fldChar w:fldCharType="begin"/>
      </w:r>
      <w:r>
        <w:rPr>
          <w:rFonts w:cs="Times New Roman"/>
          <w:sz w:val="22"/>
          <w:lang w:val="id-ID"/>
        </w:rPr>
        <w:instrText xml:space="preserve">ADDIN CSL_CITATION {"citationItems":[{"id":"ITEM-1","itemData":{"ISBN":"9781451193336","abstract":"Third Canadian edition. Preceded by Brunner &amp; Suddarth's textbook of Canadian medical-surgical nursing / [edited by] Rene A. Day [and others]. 2nd Canadian ed. 2010. Basic concepts in nursing -- Biophysical and psychosocial concepts in nursing practice -- Concepts and challenges in patient management -- Perioperative concepts and nursing management -- Gas exchange and respiratory function -- Cardiovascular, circulatory, and hematologic function -- Digestive and gastrointestinal function -- Metabolic and endocrine function -- Urinary tract function -- Reproductive function -- Immunologic function -- Integumentary function -- Sensorineural function -- Neurologic function -- Musculoskeletal function -- Other acute problems.","author":[{"dropping-particle":"","family":"Brunner","given":"","non-dropping-particle":"","parse-names":false,"suffix":""},{"dropping-particle":"","family":"Suddarth's","given":"","non-dropping-particle":"","parse-names":false,"suffix":""}],"edition":"3","editor":[{"dropping-particle":"","family":"Paul","given":"Pauline","non-dropping-particle":"","parse-names":false,"suffix":""},{"dropping-particle":"","family":"Day","given":"Rene A","non-dropping-particle":"","parse-names":false,"suffix":""},{"dropping-particle":"","family":"Williams","given":"Bev.","non-dropping-particle":"","parse-names":false,"suffix":""}],"id":"ITEM-1","issued":{"date-parts":[["2016"]]},"publisher":"Wolters Kluwer","publisher-place":"China","title":"Canadian Textbook of Medical-Surgical Nursing","type":"book"},"uris":["http://www.mendeley.com/documents/?uuid=fb83f168-7fcc-3c9c-b63b-5e3eb18b6fde"]}],"mendeley":{"formattedCitation":"(Brunner &amp; Suddarth’s, 2016)","plainTextFormattedCitation":"(Brunner &amp; Suddarth’s, 2016)","previouslyFormattedCitation":"(Brunner &amp; Suddarth’s, 2016)"},"properties":{"noteIndex":0},"schema":"https://github.com/citation-style-language/schema/raw/master/csl-citation.json"}</w:instrText>
      </w:r>
      <w:r>
        <w:rPr>
          <w:rFonts w:cs="Times New Roman"/>
          <w:sz w:val="22"/>
          <w:lang w:val="id-ID"/>
        </w:rPr>
        <w:fldChar w:fldCharType="separate"/>
      </w:r>
      <w:r>
        <w:rPr>
          <w:rFonts w:cs="Times New Roman"/>
          <w:sz w:val="22"/>
          <w:lang w:val="id-ID"/>
        </w:rPr>
        <w:t>(Brunner &amp; Suddarth’s, 2016)</w:t>
      </w:r>
      <w:r>
        <w:rPr>
          <w:rFonts w:cs="Times New Roman"/>
          <w:sz w:val="22"/>
          <w:lang w:val="id-ID"/>
        </w:rPr>
        <w:fldChar w:fldCharType="end"/>
      </w:r>
      <w:r>
        <w:rPr>
          <w:rFonts w:cs="Times New Roman"/>
          <w:sz w:val="22"/>
          <w:lang w:val="id-ID"/>
        </w:rPr>
        <w:t xml:space="preserve">. </w:t>
      </w:r>
    </w:p>
    <w:p>
      <w:pPr>
        <w:pStyle w:val="2"/>
        <w:spacing w:line="360" w:lineRule="auto"/>
        <w:ind w:firstLine="426"/>
        <w:rPr>
          <w:rFonts w:cs="Times New Roman"/>
          <w:sz w:val="22"/>
          <w:lang w:val="id-ID"/>
        </w:rPr>
      </w:pPr>
      <w:r>
        <w:rPr>
          <w:rFonts w:cs="Times New Roman"/>
          <w:sz w:val="22"/>
          <w:lang w:val="id-ID"/>
        </w:rPr>
        <w:t xml:space="preserve">Penatalaksanaan perfusi perifer tidak efektif dapat menggunakan tindakan </w:t>
      </w:r>
      <w:r>
        <w:rPr>
          <w:rFonts w:cs="Times New Roman"/>
          <w:sz w:val="22"/>
        </w:rPr>
        <w:t xml:space="preserve">non farmakologis dan non farmakologis. Tindakan jenis non farmakologis yang dapat dilakukan ketika muncul masalah berupa tidak efektifnya perfusi perifer yang mengakibatkan turunnya konsentrasi Hb yaitu dengan melakukan perawatan sirkulasi. Sedangkan tindakan farmakologis yang dapat dilakukan yaitu dengan cara mengonsumsi tablet Fe. </w:t>
      </w:r>
      <w:r>
        <w:rPr>
          <w:rFonts w:cs="Times New Roman"/>
          <w:sz w:val="22"/>
          <w:lang w:val="id-ID"/>
        </w:rPr>
        <w:t>Pada anemia, perawatan sirkulasi dapat dilakukan dengan menganjurkan pasien berolahraga rutin, tidak melakukan pengukuran darah di area ekstremitas dengan keterbatasan perfusi dan menganjurkan program diet untuk memperbaiki sirkulasi</w:t>
      </w:r>
      <w:r>
        <w:rPr>
          <w:rFonts w:cs="Times New Roman"/>
          <w:sz w:val="22"/>
          <w:lang w:val="id-ID"/>
        </w:rPr>
        <w:fldChar w:fldCharType="begin"/>
      </w:r>
      <w:r>
        <w:rPr>
          <w:rFonts w:cs="Times New Roman"/>
          <w:sz w:val="22"/>
          <w:lang w:val="id-ID"/>
        </w:rPr>
        <w:instrText xml:space="preserve">ADDIN CSL_CITATION {"citationItems":[{"id":"ITEM-1","itemData":{"ISBN":"9780415475976","abstract":"Differences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unknown.","author":[{"dropping-particle":"","family":"PPNI","given":"","non-dropping-particle":"","parse-names":false,"suffix":""}],"edition":"1","id":"ITEM-1","issued":{"date-parts":[["2018"]]},"publisher":"DPP PPNI","publisher-place":"Jakarta","title":"Standar Intervensi Keperawatan Indonesia: Definisi dan Tindakan Keperawatan","type":"book"},"uris":["http://www.mendeley.com/documents/?uuid=f3878078-14dc-3984-a5ae-0c811705b6bb"]}],"mendeley":{"formattedCitation":"(PPNI, 2018)","plainTextFormattedCitation":"(PPNI, 2018)","previouslyFormattedCitation":"(PPNI, 2018)"},"properties":{"noteIndex":0},"schema":"https://github.com/citation-style-language/schema/raw/master/csl-citation.json"}</w:instrText>
      </w:r>
      <w:r>
        <w:rPr>
          <w:rFonts w:cs="Times New Roman"/>
          <w:sz w:val="22"/>
          <w:lang w:val="id-ID"/>
        </w:rPr>
        <w:fldChar w:fldCharType="separate"/>
      </w:r>
      <w:r>
        <w:rPr>
          <w:rFonts w:cs="Times New Roman"/>
          <w:sz w:val="22"/>
          <w:lang w:val="id-ID"/>
        </w:rPr>
        <w:t>(PPNI, 2018)</w:t>
      </w:r>
      <w:r>
        <w:rPr>
          <w:rFonts w:cs="Times New Roman"/>
          <w:sz w:val="22"/>
          <w:lang w:val="id-ID"/>
        </w:rPr>
        <w:fldChar w:fldCharType="end"/>
      </w:r>
      <w:r>
        <w:rPr>
          <w:rFonts w:cs="Times New Roman"/>
          <w:sz w:val="22"/>
          <w:lang w:val="id-ID"/>
        </w:rPr>
        <w:t>. Buah bit (</w:t>
      </w:r>
      <w:r>
        <w:rPr>
          <w:rFonts w:cs="Times New Roman"/>
          <w:i/>
          <w:sz w:val="22"/>
          <w:lang w:val="id-ID"/>
        </w:rPr>
        <w:t>Beta vulgaris l.)</w:t>
      </w:r>
      <w:r>
        <w:rPr>
          <w:rFonts w:cs="Times New Roman"/>
          <w:sz w:val="22"/>
          <w:lang w:val="id-ID"/>
        </w:rPr>
        <w:t xml:space="preserve"> mengandung asam lemak jenuh 0,03, asam folat 34%, zat besi 7,4% dan juga kandungan lain yang bermanfaat untuk memperbaiki sirkulasi serta meningkatkan kadar Hb</w:t>
      </w:r>
      <w:r>
        <w:rPr>
          <w:rFonts w:cs="Times New Roman"/>
          <w:sz w:val="22"/>
          <w:lang w:val="id-ID"/>
        </w:rPr>
        <w:fldChar w:fldCharType="begin"/>
      </w:r>
      <w:r>
        <w:rPr>
          <w:rFonts w:cs="Times New Roman"/>
          <w:sz w:val="22"/>
          <w:lang w:val="id-ID"/>
        </w:rPr>
        <w:instrText xml:space="preserve">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Pr>
          <w:rFonts w:cs="Times New Roman"/>
          <w:sz w:val="22"/>
          <w:lang w:val="id-ID"/>
        </w:rPr>
        <w:fldChar w:fldCharType="separate"/>
      </w:r>
      <w:r>
        <w:rPr>
          <w:rFonts w:cs="Times New Roman"/>
          <w:sz w:val="22"/>
          <w:lang w:val="id-ID"/>
        </w:rPr>
        <w:t>(Amila et al., 2021)</w:t>
      </w:r>
      <w:r>
        <w:rPr>
          <w:rFonts w:cs="Times New Roman"/>
          <w:sz w:val="22"/>
          <w:lang w:val="id-ID"/>
        </w:rPr>
        <w:fldChar w:fldCharType="end"/>
      </w:r>
      <w:r>
        <w:rPr>
          <w:rFonts w:cs="Times New Roman"/>
          <w:sz w:val="22"/>
          <w:lang w:val="id-ID"/>
        </w:rPr>
        <w:t xml:space="preserve">. Berdasarkan </w:t>
      </w:r>
      <w:r>
        <w:rPr>
          <w:rFonts w:cs="Times New Roman"/>
          <w:sz w:val="22"/>
        </w:rPr>
        <w:t>informasi dari hasil studi pustaka, ditemukan sejumlah penelitian yang mendukung untuk memberikan jus buat bit (</w:t>
      </w:r>
      <w:r>
        <w:rPr>
          <w:rFonts w:cs="Times New Roman"/>
          <w:i/>
          <w:iCs/>
          <w:sz w:val="22"/>
        </w:rPr>
        <w:t xml:space="preserve">Beta Vulgaris I) </w:t>
      </w:r>
      <w:r>
        <w:rPr>
          <w:rFonts w:cs="Times New Roman"/>
          <w:sz w:val="22"/>
        </w:rPr>
        <w:t xml:space="preserve">dalam rangka mengatasi anemia, </w:t>
      </w:r>
      <w:r>
        <w:rPr>
          <w:rFonts w:cs="Times New Roman"/>
          <w:sz w:val="22"/>
          <w:lang w:val="id-ID"/>
        </w:rPr>
        <w:t>yaitu penelitian oleh Ikawati &amp; Rokhana tahun 2018 dengan judul “Pengaruh Buah bit (Beta Vulgaris) terhadap Indek Eritrosit pada Remaja Putri dengan Anemia”</w:t>
      </w:r>
      <w:r>
        <w:rPr>
          <w:rFonts w:cs="Times New Roman"/>
          <w:sz w:val="22"/>
        </w:rPr>
        <w:t xml:space="preserve"> dikatakan bahwa </w:t>
      </w:r>
      <w:r>
        <w:rPr>
          <w:rFonts w:cs="Times New Roman"/>
          <w:sz w:val="22"/>
          <w:lang w:val="id-ID"/>
        </w:rPr>
        <w:t xml:space="preserve">Setelah mengonsumsi buat bit </w:t>
      </w:r>
      <w:r>
        <w:rPr>
          <w:rFonts w:cs="Times New Roman"/>
          <w:sz w:val="22"/>
        </w:rPr>
        <w:t xml:space="preserve">200 gram yang </w:t>
      </w:r>
      <w:r>
        <w:rPr>
          <w:rFonts w:cs="Times New Roman"/>
          <w:sz w:val="22"/>
          <w:lang w:val="id-ID"/>
        </w:rPr>
        <w:t>berbentuk sari bua</w:t>
      </w:r>
      <w:r>
        <w:rPr>
          <w:rFonts w:cs="Times New Roman"/>
          <w:sz w:val="22"/>
        </w:rPr>
        <w:t>h</w:t>
      </w:r>
      <w:r>
        <w:rPr>
          <w:rFonts w:cs="Times New Roman"/>
          <w:sz w:val="22"/>
          <w:lang w:val="id-ID"/>
        </w:rPr>
        <w:t xml:space="preserve"> sebanyak 250 ml selama 7 hari</w:t>
      </w:r>
      <w:r>
        <w:rPr>
          <w:rFonts w:cs="Times New Roman"/>
          <w:sz w:val="22"/>
        </w:rPr>
        <w:t xml:space="preserve">, indek eritrositnya meningkat. Menurut </w:t>
      </w:r>
      <w:r>
        <w:rPr>
          <w:rFonts w:cs="Times New Roman"/>
          <w:sz w:val="22"/>
          <w:lang w:val="id-ID"/>
        </w:rPr>
        <w:fldChar w:fldCharType="begin"/>
      </w:r>
      <w:r>
        <w:rPr>
          <w:rFonts w:cs="Times New Roman"/>
          <w:sz w:val="22"/>
          <w:lang w:val="id-ID"/>
        </w:rPr>
        <w:instrText xml:space="preserve">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Pr>
          <w:rFonts w:cs="Times New Roman"/>
          <w:sz w:val="22"/>
          <w:lang w:val="id-ID"/>
        </w:rPr>
        <w:fldChar w:fldCharType="separate"/>
      </w:r>
      <w:r>
        <w:rPr>
          <w:rFonts w:cs="Times New Roman"/>
          <w:sz w:val="22"/>
          <w:lang w:val="id-ID"/>
        </w:rPr>
        <w:t>(Ikawati &amp; Rokhana, 2018)</w:t>
      </w:r>
      <w:r>
        <w:rPr>
          <w:rFonts w:cs="Times New Roman"/>
          <w:sz w:val="22"/>
          <w:lang w:val="id-ID"/>
        </w:rPr>
        <w:fldChar w:fldCharType="end"/>
      </w:r>
      <w:r>
        <w:rPr>
          <w:rFonts w:cs="Times New Roman"/>
          <w:sz w:val="22"/>
        </w:rPr>
        <w:t xml:space="preserve"> mengonsumsi buat bit dapat membawa pengaruh baik yaitu meningkatkan indek eritrosit  bagi remaja pengidap anemia. </w:t>
      </w:r>
      <w:r>
        <w:rPr>
          <w:rFonts w:cs="Times New Roman"/>
          <w:sz w:val="22"/>
          <w:lang w:val="id-ID"/>
        </w:rPr>
        <w:t>Kemudian, pada penelitian yang dilakukan oleh Priyadharsini, Brundha, dan Rani tahun 2020 yang berjudul “</w:t>
      </w:r>
      <w:r>
        <w:rPr>
          <w:rFonts w:cs="Times New Roman"/>
          <w:i/>
          <w:sz w:val="22"/>
          <w:lang w:val="id-ID"/>
        </w:rPr>
        <w:t>Comparative Study on Effects of Beetroot Juice and Dates in Iron Deficiency Anemia Patients</w:t>
      </w:r>
      <w:r>
        <w:rPr>
          <w:rFonts w:cs="Times New Roman"/>
          <w:sz w:val="22"/>
          <w:lang w:val="id-ID"/>
        </w:rPr>
        <w:t>”. Terjadi peningkatan kadar Hb yang signifikan dan sedikit perbaikan atau perubahan terlihat pada MCV, MCH dan MCHC pada pasien yang mengonsumsi jus bit dibandingkan pasien yang mengonsumsi kurma. Oleh karena itu, baik jus bit dan kurma menunjukkan efek yang selalu besar dalam mengobati anemia. Tetapi dibandingkan dengan kurma, jus bit menghasilkan peningkatan yang signifikan dalam Hb, MCV, MCH dan MCHC</w:t>
      </w:r>
      <w:r>
        <w:rPr>
          <w:rFonts w:cs="Times New Roman"/>
          <w:sz w:val="22"/>
          <w:lang w:val="id-ID"/>
        </w:rPr>
        <w:fldChar w:fldCharType="begin"/>
      </w:r>
      <w:r>
        <w:rPr>
          <w:rFonts w:cs="Times New Roman"/>
          <w:sz w:val="22"/>
          <w:lang w:val="id-ID"/>
        </w:rPr>
        <w:instrText xml:space="preserve">ADDIN CSL_CITATION {"citationItems":[{"id":"ITEM-1","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Communications","id":"ITEM-1","issue":"8","issued":{"date-parts":[["2020"]]},"page":"81-85","title":"Comparative Study on Effects of Beetroot Juice and Dates in Iron Deficiency Anemia Patients","type":"article-journal","volume":"13"},"uris":["http://www.mendeley.com/documents/?uuid=3bb9ce33-10b0-4509-ba79-9c29be3d3944"]}],"mendeley":{"formattedCitation":"(Priyadharsini et al., 2020)","plainTextFormattedCitation":"(Priyadharsini et al., 2020)","previouslyFormattedCitation":"(Priyadharsini et al., 2020)"},"properties":{"noteIndex":0},"schema":"https://github.com/citation-style-language/schema/raw/master/csl-citation.json"}</w:instrText>
      </w:r>
      <w:r>
        <w:rPr>
          <w:rFonts w:cs="Times New Roman"/>
          <w:sz w:val="22"/>
          <w:lang w:val="id-ID"/>
        </w:rPr>
        <w:fldChar w:fldCharType="separate"/>
      </w:r>
      <w:r>
        <w:rPr>
          <w:rFonts w:cs="Times New Roman"/>
          <w:sz w:val="22"/>
          <w:lang w:val="id-ID"/>
        </w:rPr>
        <w:t>(Priyadharsini et al., 2020)</w:t>
      </w:r>
      <w:r>
        <w:rPr>
          <w:rFonts w:cs="Times New Roman"/>
          <w:sz w:val="22"/>
          <w:lang w:val="id-ID"/>
        </w:rPr>
        <w:fldChar w:fldCharType="end"/>
      </w:r>
      <w:r>
        <w:rPr>
          <w:rFonts w:cs="Times New Roman"/>
          <w:sz w:val="22"/>
          <w:lang w:val="id-ID"/>
        </w:rPr>
        <w:t xml:space="preserve">. Sedangkan menurut penelitian oleh Zuhraini, dkk tahun 2021 yang berjudul “Pengaruh Pemberian Jus Buah bit dengan Peningkatan Hb pada Remaja Putri”, didapatkan hasil  rata-rata jumlah Hb remaja setelah mengonsumsi jus buah bit mencapai besar 11, 088 mg/dl yang sebelumnya hanya sebesar 10,682 mg/dl. </w:t>
      </w:r>
      <w:r>
        <w:rPr>
          <w:rFonts w:cs="Times New Roman"/>
          <w:sz w:val="22"/>
        </w:rPr>
        <w:t>Dapat disimpulkan bahwasanya pemberian jus buah bit mempengaruhi tingkat Hb, Uji t dengan (p value</w:t>
      </w:r>
      <w:r>
        <w:rPr>
          <w:rFonts w:cs="Times New Roman"/>
          <w:sz w:val="22"/>
          <w:lang w:val="id-ID"/>
        </w:rPr>
        <w:t xml:space="preserve"> 0,001 &lt; a 0.05)</w:t>
      </w:r>
      <w:r>
        <w:rPr>
          <w:rFonts w:cs="Times New Roman"/>
          <w:sz w:val="22"/>
          <w:lang w:val="id-ID"/>
        </w:rPr>
        <w:fldChar w:fldCharType="begin"/>
      </w:r>
      <w:r>
        <w:rPr>
          <w:rFonts w:cs="Times New Roman"/>
          <w:sz w:val="22"/>
          <w:lang w:val="id-ID"/>
        </w:rPr>
        <w:instrText xml:space="preserve">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2021)","plainTextFormattedCitation":"(Zuhraini et al., 2021)","previouslyFormattedCitation":"(Zuhraini et al., 2021)"},"properties":{"noteIndex":0},"schema":"https://github.com/citation-style-language/schema/raw/master/csl-citation.json"}</w:instrText>
      </w:r>
      <w:r>
        <w:rPr>
          <w:rFonts w:cs="Times New Roman"/>
          <w:sz w:val="22"/>
          <w:lang w:val="id-ID"/>
        </w:rPr>
        <w:fldChar w:fldCharType="separate"/>
      </w:r>
      <w:r>
        <w:rPr>
          <w:rFonts w:cs="Times New Roman"/>
          <w:sz w:val="22"/>
          <w:lang w:val="id-ID"/>
        </w:rPr>
        <w:t>(Zuhraini et al., 2021)</w:t>
      </w:r>
      <w:r>
        <w:rPr>
          <w:rFonts w:cs="Times New Roman"/>
          <w:sz w:val="22"/>
          <w:lang w:val="id-ID"/>
        </w:rPr>
        <w:fldChar w:fldCharType="end"/>
      </w:r>
      <w:r>
        <w:rPr>
          <w:rFonts w:cs="Times New Roman"/>
          <w:sz w:val="22"/>
          <w:lang w:val="id-ID"/>
        </w:rPr>
        <w:t>.</w:t>
      </w:r>
    </w:p>
    <w:p>
      <w:pPr>
        <w:pStyle w:val="2"/>
        <w:spacing w:line="360" w:lineRule="auto"/>
        <w:rPr>
          <w:rFonts w:cs="Times New Roman"/>
          <w:sz w:val="22"/>
          <w:lang w:val="id-ID"/>
        </w:rPr>
      </w:pPr>
      <w:r>
        <w:rPr>
          <w:rFonts w:cs="Times New Roman"/>
          <w:sz w:val="22"/>
          <w:lang w:val="id-ID"/>
        </w:rPr>
        <w:tab/>
      </w:r>
      <w:r>
        <w:rPr>
          <w:rFonts w:cs="Times New Roman"/>
          <w:sz w:val="22"/>
          <w:lang w:val="id-ID"/>
        </w:rPr>
        <w:t>Peneliti juga melakukan studi pendahuluan di Desa Rowo Kecamatan Kandangan melalui metode wawancara pada 10 orang, didapatkan hasil 6 orang sering menunjukkan gejala anemia dan tanda-tanda perfusi perifer tidak efektif. Dengan demikian, sebagai bentuk ketertarikan peneliti pada kasus anemia, maka peneliti melakukan penelitian tentang efektivitas pemberian buah bit (</w:t>
      </w:r>
      <w:r>
        <w:rPr>
          <w:rFonts w:cs="Times New Roman"/>
          <w:i/>
          <w:sz w:val="22"/>
          <w:lang w:val="id-ID"/>
        </w:rPr>
        <w:t>Beta vulgaris l.)</w:t>
      </w:r>
      <w:r>
        <w:rPr>
          <w:rFonts w:cs="Times New Roman"/>
          <w:sz w:val="22"/>
          <w:lang w:val="id-ID"/>
        </w:rPr>
        <w:t xml:space="preserve"> untuk</w:t>
      </w:r>
      <w:r>
        <w:rPr>
          <w:rFonts w:cs="Times New Roman"/>
          <w:sz w:val="22"/>
        </w:rPr>
        <w:t xml:space="preserve"> mengatasi permasalahan perfusi perifer yang tidak efektif untuk penyakit anemia. </w:t>
      </w:r>
    </w:p>
    <w:p>
      <w:pPr>
        <w:pStyle w:val="2"/>
        <w:spacing w:line="360" w:lineRule="auto"/>
        <w:rPr>
          <w:rFonts w:cs="Times New Roman"/>
          <w:sz w:val="22"/>
          <w:lang w:val="id-ID"/>
        </w:rPr>
      </w:pPr>
    </w:p>
    <w:p>
      <w:pPr>
        <w:pStyle w:val="2"/>
        <w:spacing w:line="360" w:lineRule="auto"/>
        <w:rPr>
          <w:rFonts w:cs="Times New Roman"/>
          <w:b/>
          <w:sz w:val="22"/>
          <w:lang w:val="id-ID"/>
        </w:rPr>
      </w:pPr>
      <w:r>
        <w:rPr>
          <w:rFonts w:cs="Times New Roman"/>
          <w:b/>
          <w:sz w:val="22"/>
          <w:lang w:val="id-ID"/>
        </w:rPr>
        <w:t>METODE PENELITIAN</w:t>
      </w:r>
    </w:p>
    <w:p>
      <w:pPr>
        <w:pStyle w:val="2"/>
        <w:spacing w:line="360" w:lineRule="auto"/>
        <w:ind w:firstLine="426"/>
        <w:rPr>
          <w:rFonts w:cs="Times New Roman"/>
          <w:sz w:val="22"/>
          <w:lang w:val="id-ID"/>
        </w:rPr>
      </w:pPr>
      <w:r>
        <w:rPr>
          <w:rFonts w:cs="Times New Roman"/>
          <w:sz w:val="22"/>
          <w:lang w:val="id-ID"/>
        </w:rPr>
        <w:t xml:space="preserve">Desain/ rancangan studi kasus yang peneliti digunakan adalah studi kasus kualitatif dengan strategi </w:t>
      </w:r>
      <w:r>
        <w:rPr>
          <w:rFonts w:cs="Times New Roman"/>
          <w:i/>
          <w:sz w:val="22"/>
          <w:lang w:val="id-ID"/>
        </w:rPr>
        <w:t xml:space="preserve">case study research, </w:t>
      </w:r>
      <w:r>
        <w:rPr>
          <w:rFonts w:cs="Times New Roman"/>
          <w:sz w:val="22"/>
          <w:lang w:val="id-ID"/>
        </w:rPr>
        <w:t>yang difokuskan pada satu masalah saja</w:t>
      </w:r>
      <w:r>
        <w:rPr>
          <w:rFonts w:cs="Times New Roman"/>
          <w:sz w:val="22"/>
          <w:lang w:val="id-ID"/>
        </w:rPr>
        <w:fldChar w:fldCharType="begin"/>
      </w:r>
      <w:r>
        <w:rPr>
          <w:rFonts w:cs="Times New Roman"/>
          <w:sz w:val="22"/>
          <w:lang w:val="id-ID"/>
        </w:rPr>
        <w:instrText xml:space="preserve">ADDIN CSL_CITATION {"citationItems":[{"id":"ITEM-1","itemData":{"ISBN":"979-69332-486-2","author":[{"dropping-particle":"","family":"Sukmadinata","given":"Nana Syaodih","non-dropping-particle":"","parse-names":false,"suffix":""}],"id":"ITEM-1","issued":{"date-parts":[["2020"]]},"publisher":"PT Remaja Rosdakarya","publisher-place":"Bandung","title":"Metode Penelitian Pendidikan","type":"book"},"uris":["http://www.mendeley.com/documents/?uuid=358d27c9-9ae5-4740-9c60-2907ba3909a4"]}],"mendeley":{"formattedCitation":"(Sukmadinata, 2020)","plainTextFormattedCitation":"(Sukmadinata, 2020)","previouslyFormattedCitation":"(Sukmadinata, 2020)"},"properties":{"noteIndex":0},"schema":"https://github.com/citation-style-language/schema/raw/master/csl-citation.json"}</w:instrText>
      </w:r>
      <w:r>
        <w:rPr>
          <w:rFonts w:cs="Times New Roman"/>
          <w:sz w:val="22"/>
          <w:lang w:val="id-ID"/>
        </w:rPr>
        <w:fldChar w:fldCharType="separate"/>
      </w:r>
      <w:r>
        <w:rPr>
          <w:rFonts w:cs="Times New Roman"/>
          <w:sz w:val="22"/>
          <w:lang w:val="id-ID"/>
        </w:rPr>
        <w:t>(Sukmadinata, 2020)</w:t>
      </w:r>
      <w:r>
        <w:rPr>
          <w:rFonts w:cs="Times New Roman"/>
          <w:sz w:val="22"/>
          <w:lang w:val="id-ID"/>
        </w:rPr>
        <w:fldChar w:fldCharType="end"/>
      </w:r>
      <w:r>
        <w:rPr>
          <w:rFonts w:cs="Times New Roman"/>
          <w:sz w:val="22"/>
          <w:lang w:val="id-ID"/>
        </w:rPr>
        <w:t>. Dalam penelitian ini, peneliti menjelaskan tentang pendekatan penelitian deskriptif yang berfokus mengatasi perfusi perifer tidak efektif dengan pemberian jus buah bit (</w:t>
      </w:r>
      <w:r>
        <w:rPr>
          <w:rFonts w:cs="Times New Roman"/>
          <w:i/>
          <w:sz w:val="22"/>
          <w:lang w:val="id-ID"/>
        </w:rPr>
        <w:t>Beta vulgaris l.)</w:t>
      </w:r>
      <w:r>
        <w:rPr>
          <w:rFonts w:cs="Times New Roman"/>
          <w:sz w:val="22"/>
          <w:lang w:val="id-ID"/>
        </w:rPr>
        <w:t xml:space="preserve"> pada anemia</w:t>
      </w:r>
      <w:r>
        <w:rPr>
          <w:rFonts w:cs="Times New Roman"/>
          <w:i/>
          <w:sz w:val="22"/>
          <w:lang w:val="id-ID"/>
        </w:rPr>
        <w:t>.</w:t>
      </w:r>
      <w:r>
        <w:rPr>
          <w:rFonts w:cs="Times New Roman"/>
          <w:sz w:val="22"/>
          <w:lang w:val="id-ID"/>
        </w:rPr>
        <w:t>Kriteria inklusi yang peneliti gunakan yaitu perempuan dengan kadar Hb &lt; 10 mg/dL dengan rentang usia 15-49 tahun, dan menunjukkan tanda gejala perfusi perifer tidak efektif. Tempat penelitian di Desa Rowo Kecamatan Kandangan Kabupaten Temanggung. Jumlah responden adalah 2 orang yang dilakukan intervensi berupa pemberian jus buah bit (</w:t>
      </w:r>
      <w:r>
        <w:rPr>
          <w:rFonts w:cs="Times New Roman"/>
          <w:i/>
          <w:sz w:val="22"/>
          <w:lang w:val="id-ID"/>
        </w:rPr>
        <w:t>Beta vulgaris l.)</w:t>
      </w:r>
      <w:r>
        <w:rPr>
          <w:rFonts w:cs="Times New Roman"/>
          <w:sz w:val="22"/>
          <w:lang w:val="id-ID"/>
        </w:rPr>
        <w:t xml:space="preserve"> 250ml selama 7 hari</w:t>
      </w:r>
      <w:r>
        <w:rPr>
          <w:rFonts w:cs="Times New Roman"/>
          <w:sz w:val="22"/>
          <w:lang w:val="id-ID"/>
        </w:rPr>
        <w:fldChar w:fldCharType="begin"/>
      </w:r>
      <w:r>
        <w:rPr>
          <w:rFonts w:cs="Times New Roman"/>
          <w:sz w:val="22"/>
          <w:lang w:val="id-ID"/>
        </w:rPr>
        <w:instrText xml:space="preserve">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id":"ITEM-2","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Communications","id":"ITEM-2","issue":"8","issued":{"date-parts":[["2020"]]},"page":"81-85","title":"Comparative Study on Effects of Beetroot Juice and Dates in Iron Deficiency Anemia Patients","type":"article-journal","volume":"13"},"uris":["http://www.mendeley.com/documents/?uuid=3bb9ce33-10b0-4509-ba79-9c29be3d3944"]}],"mendeley":{"formattedCitation":"(Ikawati &amp; Rokhana, 2018; Priyadharsini et al., 2020)","plainTextFormattedCitation":"(Ikawati &amp; Rokhana, 2018; Priyadharsini et al., 2020)","previouslyFormattedCitation":"(Ikawati &amp; Rokhana, 2018; Priyadharsini et al., 2020)"},"properties":{"noteIndex":0},"schema":"https://github.com/citation-style-language/schema/raw/master/csl-citation.json"}</w:instrText>
      </w:r>
      <w:r>
        <w:rPr>
          <w:rFonts w:cs="Times New Roman"/>
          <w:sz w:val="22"/>
          <w:lang w:val="id-ID"/>
        </w:rPr>
        <w:fldChar w:fldCharType="separate"/>
      </w:r>
      <w:r>
        <w:rPr>
          <w:rFonts w:cs="Times New Roman"/>
          <w:sz w:val="22"/>
          <w:lang w:val="id-ID"/>
        </w:rPr>
        <w:t>(Ikawati &amp; Rokhana, 2018; Priyadharsini et al., 2020)</w:t>
      </w:r>
      <w:r>
        <w:rPr>
          <w:rFonts w:cs="Times New Roman"/>
          <w:sz w:val="22"/>
          <w:lang w:val="id-ID"/>
        </w:rPr>
        <w:fldChar w:fldCharType="end"/>
      </w:r>
      <w:r>
        <w:rPr>
          <w:rFonts w:cs="Times New Roman"/>
          <w:sz w:val="22"/>
          <w:lang w:val="id-ID"/>
        </w:rPr>
        <w:t xml:space="preserve">. </w:t>
      </w:r>
    </w:p>
    <w:p>
      <w:pPr>
        <w:pStyle w:val="2"/>
        <w:spacing w:line="360" w:lineRule="auto"/>
        <w:ind w:firstLine="426"/>
        <w:rPr>
          <w:rFonts w:cs="Times New Roman"/>
          <w:sz w:val="22"/>
          <w:lang w:val="id-ID"/>
        </w:rPr>
      </w:pPr>
      <w:r>
        <w:rPr>
          <w:rFonts w:cs="Times New Roman"/>
          <w:sz w:val="22"/>
          <w:lang w:val="id-ID"/>
        </w:rPr>
        <w:t>Pembuatan jus buah bit (</w:t>
      </w:r>
      <w:r>
        <w:rPr>
          <w:rFonts w:cs="Times New Roman"/>
          <w:i/>
          <w:sz w:val="22"/>
          <w:lang w:val="id-ID"/>
        </w:rPr>
        <w:t>Beta vulgaris l.)</w:t>
      </w:r>
      <w:r>
        <w:rPr>
          <w:rFonts w:cs="Times New Roman"/>
          <w:sz w:val="22"/>
          <w:lang w:val="id-ID"/>
        </w:rPr>
        <w:t xml:space="preserve"> adalah mencampurkan 200gr buah bit yang sudah dikupas, 250ml air matang dan 50gr gula pasir. Semua bahan dihaluskan menggunakan blender, kemudian disaring dan disajikan 250ml</w:t>
      </w:r>
      <w:r>
        <w:rPr>
          <w:rFonts w:cs="Times New Roman"/>
          <w:sz w:val="22"/>
          <w:lang w:val="id-ID"/>
        </w:rPr>
        <w:fldChar w:fldCharType="begin"/>
      </w:r>
      <w:r>
        <w:rPr>
          <w:rFonts w:cs="Times New Roman"/>
          <w:sz w:val="22"/>
          <w:lang w:val="id-ID"/>
        </w:rPr>
        <w:instrText xml:space="preserve">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id":"ITEM-2","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Communications","id":"ITEM-2","issue":"8","issued":{"date-parts":[["2020"]]},"page":"81-85","title":"Comparative Study on Effects of Beetroot Juice and Dates in Iron Deficiency Anemia Patients","type":"article-journal","volume":"13"},"uris":["http://www.mendeley.com/documents/?uuid=3bb9ce33-10b0-4509-ba79-9c29be3d3944"]},{"id":"ITEM-3","itemData":{"abstract":"Backgrund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Journal)","id":"ITEM-3","issue":"3","issued":{"date-parts":[["2021"]]},"page":"144-149","title":"Pengaruh Pemberian Jus Buah Bit dengan Peningkatan Hb pada Remaja Putri","type":"article-journal","volume":"1"},"uris":["http://www.mendeley.com/documents/?uuid=f5a9493a-0bd6-4cd2-81f6-f61c345fb466"]}],"mendeley":{"formattedCitation":"(Amila et al., 2021; Priyadharsini et al., 2020; Zuhraini et al., 2021)","plainTextFormattedCitation":"(Amila et al., 2021; Priyadharsini et al., 2020; Zuhraini et al., 2021)","previouslyFormattedCitation":"(Amila et al., 2021; Priyadharsini et al., 2020; Zuhraini et al., 2021)"},"properties":{"noteIndex":0},"schema":"https://github.com/citation-style-language/schema/raw/master/csl-citation.json"}</w:instrText>
      </w:r>
      <w:r>
        <w:rPr>
          <w:rFonts w:cs="Times New Roman"/>
          <w:sz w:val="22"/>
          <w:lang w:val="id-ID"/>
        </w:rPr>
        <w:fldChar w:fldCharType="separate"/>
      </w:r>
      <w:r>
        <w:rPr>
          <w:rFonts w:cs="Times New Roman"/>
          <w:sz w:val="22"/>
          <w:lang w:val="id-ID"/>
        </w:rPr>
        <w:t>(Amila et al., 2021; Priyadharsini et al., 2020; Zuhraini et al., 2021)</w:t>
      </w:r>
      <w:r>
        <w:rPr>
          <w:rFonts w:cs="Times New Roman"/>
          <w:sz w:val="22"/>
          <w:lang w:val="id-ID"/>
        </w:rPr>
        <w:fldChar w:fldCharType="end"/>
      </w:r>
      <w:r>
        <w:rPr>
          <w:rFonts w:cs="Times New Roman"/>
          <w:sz w:val="22"/>
          <w:lang w:val="id-ID"/>
        </w:rPr>
        <w:t>. Pengukuran kadar Hb dilakukan hari pertama dan hari ketujuh penelitian, sedangkan pemeriksaan perfusi perifer dilakukan 30 menit setelah mengonsumsi jus buah bit (</w:t>
      </w:r>
      <w:r>
        <w:rPr>
          <w:rFonts w:cs="Times New Roman"/>
          <w:i/>
          <w:sz w:val="22"/>
          <w:lang w:val="id-ID"/>
        </w:rPr>
        <w:t>Beta vulgaris l.)</w:t>
      </w:r>
      <w:r>
        <w:rPr>
          <w:rFonts w:cs="Times New Roman"/>
          <w:sz w:val="22"/>
          <w:lang w:val="id-ID"/>
        </w:rPr>
        <w:t xml:space="preserve">. Instrumen yang digunakan berupa </w:t>
      </w:r>
      <w:r>
        <w:rPr>
          <w:rFonts w:cs="Times New Roman"/>
          <w:i/>
          <w:sz w:val="22"/>
          <w:lang w:val="id-ID"/>
        </w:rPr>
        <w:t xml:space="preserve">quick check Hb </w:t>
      </w:r>
      <w:r>
        <w:rPr>
          <w:rFonts w:cs="Times New Roman"/>
          <w:sz w:val="22"/>
          <w:lang w:val="id-ID"/>
        </w:rPr>
        <w:t xml:space="preserve">untuk mengukur kadar Hb, </w:t>
      </w:r>
      <w:r>
        <w:rPr>
          <w:rFonts w:cs="Times New Roman"/>
          <w:i/>
          <w:sz w:val="22"/>
          <w:lang w:val="id-ID"/>
        </w:rPr>
        <w:t xml:space="preserve">sphygmomanometer </w:t>
      </w:r>
      <w:r>
        <w:rPr>
          <w:rFonts w:cs="Times New Roman"/>
          <w:sz w:val="22"/>
          <w:lang w:val="id-ID"/>
        </w:rPr>
        <w:t xml:space="preserve">untuk mengukur tekanan darah, lembar penjelasan penelitian, lembar </w:t>
      </w:r>
      <w:r>
        <w:rPr>
          <w:rFonts w:cs="Times New Roman"/>
          <w:i/>
          <w:sz w:val="22"/>
          <w:lang w:val="id-ID"/>
        </w:rPr>
        <w:t xml:space="preserve">informed consent, </w:t>
      </w:r>
      <w:r>
        <w:rPr>
          <w:rFonts w:cs="Times New Roman"/>
          <w:sz w:val="22"/>
          <w:lang w:val="id-ID"/>
        </w:rPr>
        <w:t>lembar pengkajian anemia, lembar pengkajian perfusi perifer tidak efektif, lembar kriteria responden, lembar observasi hasil tindakan dan SOP pemberian jus buah bit (</w:t>
      </w:r>
      <w:r>
        <w:rPr>
          <w:rFonts w:cs="Times New Roman"/>
          <w:i/>
          <w:sz w:val="22"/>
          <w:lang w:val="id-ID"/>
        </w:rPr>
        <w:t>Beta vulgaris l.)</w:t>
      </w:r>
      <w:r>
        <w:rPr>
          <w:rFonts w:cs="Times New Roman"/>
          <w:sz w:val="22"/>
          <w:lang w:val="id-ID"/>
        </w:rPr>
        <w:t>. Data diperoleh dari hasil wawancara, observasi dan pemeriksaan fisik. Setelah dilakukan pengecekan ulang terhadap responden maka data bisa diambil kesimpulan. Data dijabarkan dalam bentuk narasi secara mendalam dan terperinci tentang pemberian jus buah bit (</w:t>
      </w:r>
      <w:r>
        <w:rPr>
          <w:rFonts w:cs="Times New Roman"/>
          <w:i/>
          <w:sz w:val="22"/>
          <w:lang w:val="id-ID"/>
        </w:rPr>
        <w:t>Beta vulgaris l.)</w:t>
      </w:r>
      <w:r>
        <w:rPr>
          <w:rFonts w:cs="Times New Roman"/>
          <w:sz w:val="22"/>
          <w:lang w:val="id-ID"/>
        </w:rPr>
        <w:t xml:space="preserve"> meningkatkan kadar Hb untuk mengatasi perfusi perifer tidak efektif pada anemia. </w:t>
      </w:r>
    </w:p>
    <w:p>
      <w:pPr>
        <w:pStyle w:val="2"/>
        <w:spacing w:line="360" w:lineRule="auto"/>
        <w:rPr>
          <w:rFonts w:cs="Times New Roman"/>
          <w:sz w:val="22"/>
          <w:lang w:val="id-ID"/>
        </w:rPr>
      </w:pPr>
    </w:p>
    <w:p>
      <w:pPr>
        <w:pStyle w:val="2"/>
        <w:spacing w:line="360" w:lineRule="auto"/>
        <w:rPr>
          <w:rFonts w:cs="Times New Roman"/>
          <w:b/>
          <w:sz w:val="22"/>
          <w:lang w:val="id-ID"/>
        </w:rPr>
      </w:pPr>
      <w:r>
        <w:rPr>
          <w:rFonts w:cs="Times New Roman"/>
          <w:b/>
          <w:sz w:val="22"/>
          <w:lang w:val="id-ID"/>
        </w:rPr>
        <w:t>HASIL PENELITIAN</w:t>
      </w:r>
    </w:p>
    <w:p>
      <w:pPr>
        <w:pStyle w:val="2"/>
        <w:spacing w:line="360" w:lineRule="auto"/>
        <w:ind w:firstLine="426"/>
        <w:rPr>
          <w:rFonts w:cs="Times New Roman"/>
          <w:sz w:val="22"/>
          <w:lang w:val="id-ID"/>
        </w:rPr>
      </w:pPr>
      <w:r>
        <w:rPr>
          <w:rFonts w:cs="Times New Roman"/>
          <w:sz w:val="22"/>
          <w:lang w:val="id-ID"/>
        </w:rPr>
        <w:t>Peneliti memilih responden yang mengalami masalah perfusi perifer tidak efektif dengan anemia, berdasarkan identifikasi pengkajian anemia dan perfusi perifer tidak efektif. Penelitian dilaksanakan pada tanggal 1 – 8 Januari 2023 di Desa Rowo Kecamatan Kandangan Kabupaten Temanggung. Responden pertama adalah Nn. A usia 15 tahun, pendidikan terakhir SMP/ sederajat, agama Islam, alamat Desa Rowo Kecamatan Kandangan. Pengkajian pada Nn. A dilakukan pada 1 Januari 2023 dengan hasil pemeriksaan kadar hemoglobin Nn. A adalah 8.5 mg/dL dan tekanan darah 80/50 mmHg. Nn. A mengatakan menstruasinya lancar setiap bulan dengan rentang waktu 9-10 hari, saat pengkajian Nn. A baru selesai menstruasi. Nn. A mengatakan baru pertama kali cek kadar Hb dan tidak mengetahui apakah ada riwayat anemia atau penyakit lain sebelumnya. Kemudian, responden kedua adalah Nn. W usia 21 tahun, pendidikan terakhir SMA/ sederajat, agama Islam, alamat Desa Rowo Kecamatan Kandangan. Pengkajian pada Nn. W dilakukan pada 2 Januari 2023 dengan hasil pemeriksaan kadar hemoglobin Nn. W adalah 9.5 mg/dL dan tekanan darah 90/60 mmHg. Nn. W mengatakan siklus menstruasinya lancar setiap bulan, dengan rentang waktu 13-15 hari dan saat pengkajian Nn. W sedang menstruasi hari ke 10. Nn. W mengatakan sebelum ini juga sering mengalami anemia tapi lupa sejak kapan. Nn. W mengatakan mempunyai riwayat asma dan gastritis sejak usia remaja.</w:t>
      </w:r>
    </w:p>
    <w:p>
      <w:pPr>
        <w:pStyle w:val="2"/>
        <w:spacing w:line="360" w:lineRule="auto"/>
        <w:ind w:firstLine="426"/>
        <w:rPr>
          <w:rFonts w:cs="Times New Roman"/>
          <w:sz w:val="22"/>
          <w:lang w:val="id-ID"/>
        </w:rPr>
      </w:pPr>
      <w:r>
        <w:rPr>
          <w:rFonts w:cs="Times New Roman"/>
          <w:sz w:val="22"/>
          <w:lang w:val="id-ID"/>
        </w:rPr>
        <w:t>Hasil pengkajian anemia yang dilakukan pada kedua responden diuraikan pada tabel 1 :</w:t>
      </w:r>
    </w:p>
    <w:p>
      <w:pPr>
        <w:pStyle w:val="9"/>
        <w:keepNext/>
        <w:spacing w:after="0"/>
        <w:jc w:val="center"/>
        <w:rPr>
          <w:rFonts w:cs="Times New Roman"/>
          <w:color w:val="auto"/>
          <w:sz w:val="22"/>
          <w:lang w:val="id-ID"/>
        </w:rPr>
      </w:pPr>
      <w:r>
        <w:rPr>
          <w:rFonts w:cs="Times New Roman"/>
          <w:color w:val="auto"/>
          <w:sz w:val="22"/>
        </w:rPr>
        <w:t>Tabel</w:t>
      </w:r>
      <w:r>
        <w:rPr>
          <w:rFonts w:cs="Times New Roman"/>
          <w:color w:val="auto"/>
          <w:sz w:val="22"/>
          <w:lang w:val="id-ID"/>
        </w:rPr>
        <w:t xml:space="preserve"> </w:t>
      </w:r>
      <w:r>
        <w:rPr>
          <w:rFonts w:cs="Times New Roman"/>
          <w:color w:val="auto"/>
          <w:sz w:val="22"/>
        </w:rPr>
        <w:fldChar w:fldCharType="begin"/>
      </w:r>
      <w:r>
        <w:rPr>
          <w:rFonts w:cs="Times New Roman"/>
          <w:color w:val="auto"/>
          <w:sz w:val="22"/>
        </w:rPr>
        <w:instrText xml:space="preserve"> SEQ Tabel_4._ \* ARABIC </w:instrText>
      </w:r>
      <w:r>
        <w:rPr>
          <w:rFonts w:cs="Times New Roman"/>
          <w:color w:val="auto"/>
          <w:sz w:val="22"/>
        </w:rPr>
        <w:fldChar w:fldCharType="separate"/>
      </w:r>
      <w:r>
        <w:rPr>
          <w:rFonts w:cs="Times New Roman"/>
          <w:color w:val="auto"/>
          <w:sz w:val="22"/>
        </w:rPr>
        <w:t>1</w:t>
      </w:r>
      <w:r>
        <w:rPr>
          <w:rFonts w:cs="Times New Roman"/>
          <w:color w:val="auto"/>
          <w:sz w:val="22"/>
        </w:rPr>
        <w:fldChar w:fldCharType="end"/>
      </w:r>
      <w:r>
        <w:rPr>
          <w:rFonts w:cs="Times New Roman"/>
          <w:color w:val="auto"/>
          <w:sz w:val="22"/>
          <w:lang w:val="id-ID"/>
        </w:rPr>
        <w:t xml:space="preserve"> Hasil pengkajian anemia</w:t>
      </w:r>
    </w:p>
    <w:tbl>
      <w:tblPr>
        <w:tblStyle w:val="16"/>
        <w:tblW w:w="5000" w:type="pct"/>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763"/>
        <w:gridCol w:w="4023"/>
        <w:gridCol w:w="945"/>
        <w:gridCol w:w="1337"/>
        <w:gridCol w:w="1057"/>
        <w:gridCol w:w="1118"/>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vMerge w:val="restart"/>
            <w:vAlign w:val="center"/>
          </w:tcPr>
          <w:p>
            <w:pPr>
              <w:pStyle w:val="2"/>
              <w:jc w:val="center"/>
              <w:rPr>
                <w:rFonts w:cs="Times New Roman"/>
                <w:b/>
                <w:sz w:val="22"/>
                <w:szCs w:val="22"/>
                <w:lang w:val="id-ID" w:eastAsia="id-ID"/>
              </w:rPr>
            </w:pPr>
            <w:r>
              <w:rPr>
                <w:rFonts w:cs="Times New Roman"/>
                <w:b/>
                <w:sz w:val="22"/>
                <w:szCs w:val="22"/>
                <w:lang w:val="id-ID" w:eastAsia="id-ID"/>
              </w:rPr>
              <w:t>No</w:t>
            </w:r>
          </w:p>
        </w:tc>
        <w:tc>
          <w:tcPr>
            <w:tcW w:w="2176" w:type="pct"/>
            <w:vMerge w:val="restart"/>
            <w:vAlign w:val="center"/>
          </w:tcPr>
          <w:p>
            <w:pPr>
              <w:pStyle w:val="2"/>
              <w:jc w:val="center"/>
              <w:rPr>
                <w:rFonts w:cs="Times New Roman"/>
                <w:b/>
                <w:sz w:val="22"/>
                <w:szCs w:val="22"/>
                <w:lang w:val="id-ID" w:eastAsia="id-ID"/>
              </w:rPr>
            </w:pPr>
            <w:r>
              <w:rPr>
                <w:rFonts w:cs="Times New Roman"/>
                <w:b/>
                <w:sz w:val="22"/>
                <w:szCs w:val="22"/>
                <w:lang w:val="id-ID" w:eastAsia="id-ID"/>
              </w:rPr>
              <w:t>Manifestasi Klinis Anemia</w:t>
            </w:r>
          </w:p>
        </w:tc>
        <w:tc>
          <w:tcPr>
            <w:tcW w:w="1234" w:type="pct"/>
            <w:gridSpan w:val="2"/>
          </w:tcPr>
          <w:p>
            <w:pPr>
              <w:pStyle w:val="2"/>
              <w:jc w:val="center"/>
              <w:rPr>
                <w:rFonts w:cs="Times New Roman"/>
                <w:b/>
                <w:sz w:val="22"/>
                <w:szCs w:val="22"/>
                <w:lang w:val="id-ID" w:eastAsia="id-ID"/>
              </w:rPr>
            </w:pPr>
            <w:r>
              <w:rPr>
                <w:rFonts w:cs="Times New Roman"/>
                <w:b/>
                <w:sz w:val="22"/>
                <w:szCs w:val="22"/>
                <w:lang w:val="id-ID" w:eastAsia="id-ID"/>
              </w:rPr>
              <w:t>Nn. A</w:t>
            </w:r>
          </w:p>
        </w:tc>
        <w:tc>
          <w:tcPr>
            <w:tcW w:w="1177" w:type="pct"/>
            <w:gridSpan w:val="2"/>
          </w:tcPr>
          <w:p>
            <w:pPr>
              <w:pStyle w:val="2"/>
              <w:jc w:val="center"/>
              <w:rPr>
                <w:rFonts w:cs="Times New Roman"/>
                <w:b/>
                <w:sz w:val="22"/>
                <w:szCs w:val="22"/>
                <w:lang w:val="id-ID" w:eastAsia="id-ID"/>
              </w:rPr>
            </w:pPr>
            <w:r>
              <w:rPr>
                <w:rFonts w:cs="Times New Roman"/>
                <w:b/>
                <w:sz w:val="22"/>
                <w:szCs w:val="22"/>
                <w:lang w:val="id-ID" w:eastAsia="id-ID"/>
              </w:rPr>
              <w:t>Nn. W</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vMerge w:val="continue"/>
            <w:tcBorders>
              <w:bottom w:val="single" w:color="auto" w:sz="4" w:space="0"/>
            </w:tcBorders>
          </w:tcPr>
          <w:p>
            <w:pPr>
              <w:pStyle w:val="2"/>
              <w:jc w:val="center"/>
              <w:rPr>
                <w:rFonts w:cs="Times New Roman"/>
                <w:b/>
                <w:sz w:val="22"/>
                <w:szCs w:val="22"/>
                <w:lang w:val="id-ID" w:eastAsia="id-ID"/>
              </w:rPr>
            </w:pPr>
          </w:p>
        </w:tc>
        <w:tc>
          <w:tcPr>
            <w:tcW w:w="2176" w:type="pct"/>
            <w:vMerge w:val="continue"/>
            <w:tcBorders>
              <w:bottom w:val="single" w:color="auto" w:sz="4" w:space="0"/>
            </w:tcBorders>
          </w:tcPr>
          <w:p>
            <w:pPr>
              <w:pStyle w:val="2"/>
              <w:jc w:val="center"/>
              <w:rPr>
                <w:rFonts w:cs="Times New Roman"/>
                <w:b/>
                <w:sz w:val="22"/>
                <w:szCs w:val="22"/>
                <w:lang w:val="id-ID" w:eastAsia="id-ID"/>
              </w:rPr>
            </w:pPr>
          </w:p>
        </w:tc>
        <w:tc>
          <w:tcPr>
            <w:tcW w:w="511" w:type="pct"/>
            <w:tcBorders>
              <w:bottom w:val="single" w:color="auto" w:sz="4" w:space="0"/>
            </w:tcBorders>
            <w:vAlign w:val="center"/>
          </w:tcPr>
          <w:p>
            <w:pPr>
              <w:pStyle w:val="2"/>
              <w:jc w:val="center"/>
              <w:rPr>
                <w:rFonts w:cs="Times New Roman"/>
                <w:b/>
                <w:sz w:val="22"/>
                <w:szCs w:val="22"/>
                <w:lang w:val="id-ID" w:eastAsia="id-ID"/>
              </w:rPr>
            </w:pPr>
            <w:r>
              <w:rPr>
                <w:rFonts w:cs="Times New Roman"/>
                <w:b/>
                <w:sz w:val="22"/>
                <w:szCs w:val="22"/>
                <w:lang w:val="id-ID" w:eastAsia="id-ID"/>
              </w:rPr>
              <w:t>Ada</w:t>
            </w:r>
          </w:p>
        </w:tc>
        <w:tc>
          <w:tcPr>
            <w:tcW w:w="723" w:type="pct"/>
            <w:tcBorders>
              <w:bottom w:val="single" w:color="auto" w:sz="4" w:space="0"/>
            </w:tcBorders>
            <w:vAlign w:val="center"/>
          </w:tcPr>
          <w:p>
            <w:pPr>
              <w:pStyle w:val="2"/>
              <w:jc w:val="center"/>
              <w:rPr>
                <w:rFonts w:cs="Times New Roman"/>
                <w:b/>
                <w:sz w:val="22"/>
                <w:szCs w:val="22"/>
                <w:lang w:val="id-ID" w:eastAsia="id-ID"/>
              </w:rPr>
            </w:pPr>
            <w:r>
              <w:rPr>
                <w:rFonts w:cs="Times New Roman"/>
                <w:b/>
                <w:sz w:val="22"/>
                <w:szCs w:val="22"/>
                <w:lang w:val="id-ID" w:eastAsia="id-ID"/>
              </w:rPr>
              <w:t>Tidak Ada</w:t>
            </w:r>
          </w:p>
        </w:tc>
        <w:tc>
          <w:tcPr>
            <w:tcW w:w="572" w:type="pct"/>
            <w:tcBorders>
              <w:bottom w:val="single" w:color="auto" w:sz="4" w:space="0"/>
            </w:tcBorders>
            <w:vAlign w:val="center"/>
          </w:tcPr>
          <w:p>
            <w:pPr>
              <w:pStyle w:val="2"/>
              <w:jc w:val="center"/>
              <w:rPr>
                <w:rFonts w:cs="Times New Roman"/>
                <w:b/>
                <w:sz w:val="22"/>
                <w:szCs w:val="22"/>
                <w:lang w:val="id-ID" w:eastAsia="id-ID"/>
              </w:rPr>
            </w:pPr>
            <w:r>
              <w:rPr>
                <w:rFonts w:cs="Times New Roman"/>
                <w:b/>
                <w:sz w:val="22"/>
                <w:szCs w:val="22"/>
                <w:lang w:val="id-ID" w:eastAsia="id-ID"/>
              </w:rPr>
              <w:t>Ada</w:t>
            </w:r>
          </w:p>
        </w:tc>
        <w:tc>
          <w:tcPr>
            <w:tcW w:w="605" w:type="pct"/>
            <w:tcBorders>
              <w:bottom w:val="single" w:color="auto" w:sz="4" w:space="0"/>
            </w:tcBorders>
            <w:vAlign w:val="center"/>
          </w:tcPr>
          <w:p>
            <w:pPr>
              <w:pStyle w:val="2"/>
              <w:jc w:val="center"/>
              <w:rPr>
                <w:rFonts w:cs="Times New Roman"/>
                <w:b/>
                <w:sz w:val="22"/>
                <w:szCs w:val="22"/>
                <w:lang w:val="id-ID" w:eastAsia="id-ID"/>
              </w:rPr>
            </w:pPr>
            <w:r>
              <w:rPr>
                <w:rFonts w:cs="Times New Roman"/>
                <w:b/>
                <w:sz w:val="22"/>
                <w:szCs w:val="22"/>
                <w:lang w:val="id-ID" w:eastAsia="id-ID"/>
              </w:rPr>
              <w:t>Tidak Ada</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tcBorders>
              <w:bottom w:val="nil"/>
            </w:tcBorders>
          </w:tcPr>
          <w:p>
            <w:pPr>
              <w:pStyle w:val="2"/>
              <w:jc w:val="center"/>
              <w:rPr>
                <w:rFonts w:cs="Times New Roman"/>
                <w:sz w:val="22"/>
                <w:szCs w:val="22"/>
                <w:lang w:val="id-ID" w:eastAsia="id-ID"/>
              </w:rPr>
            </w:pPr>
            <w:r>
              <w:rPr>
                <w:rFonts w:cs="Times New Roman"/>
                <w:sz w:val="22"/>
                <w:szCs w:val="22"/>
                <w:lang w:val="id-ID" w:eastAsia="id-ID"/>
              </w:rPr>
              <w:t>1.</w:t>
            </w:r>
          </w:p>
        </w:tc>
        <w:tc>
          <w:tcPr>
            <w:tcW w:w="2176" w:type="pct"/>
            <w:tcBorders>
              <w:bottom w:val="nil"/>
            </w:tcBorders>
          </w:tcPr>
          <w:p>
            <w:pPr>
              <w:pStyle w:val="2"/>
              <w:rPr>
                <w:rFonts w:cs="Times New Roman"/>
                <w:sz w:val="22"/>
                <w:szCs w:val="22"/>
                <w:lang w:val="id-ID" w:eastAsia="id-ID"/>
              </w:rPr>
            </w:pPr>
            <w:r>
              <w:rPr>
                <w:rFonts w:cs="Times New Roman"/>
                <w:sz w:val="22"/>
                <w:szCs w:val="22"/>
                <w:lang w:val="id-ID" w:eastAsia="id-ID"/>
              </w:rPr>
              <w:t>Merasa lelah atau lesu</w:t>
            </w:r>
          </w:p>
        </w:tc>
        <w:tc>
          <w:tcPr>
            <w:tcW w:w="511" w:type="pct"/>
            <w:tcBorders>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23" w:type="pct"/>
            <w:tcBorders>
              <w:bottom w:val="nil"/>
            </w:tcBorders>
            <w:vAlign w:val="center"/>
          </w:tcPr>
          <w:p>
            <w:pPr>
              <w:pStyle w:val="2"/>
              <w:jc w:val="center"/>
              <w:rPr>
                <w:rFonts w:cs="Times New Roman"/>
                <w:sz w:val="22"/>
                <w:szCs w:val="22"/>
                <w:lang w:val="id-ID" w:eastAsia="id-ID"/>
              </w:rPr>
            </w:pPr>
          </w:p>
        </w:tc>
        <w:tc>
          <w:tcPr>
            <w:tcW w:w="572" w:type="pct"/>
            <w:tcBorders>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605" w:type="pct"/>
            <w:tcBorders>
              <w:bottom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tcBorders>
              <w:top w:val="nil"/>
              <w:bottom w:val="nil"/>
            </w:tcBorders>
          </w:tcPr>
          <w:p>
            <w:pPr>
              <w:pStyle w:val="2"/>
              <w:jc w:val="center"/>
              <w:rPr>
                <w:rFonts w:cs="Times New Roman"/>
                <w:sz w:val="22"/>
                <w:szCs w:val="22"/>
                <w:lang w:val="id-ID" w:eastAsia="id-ID"/>
              </w:rPr>
            </w:pPr>
            <w:r>
              <w:rPr>
                <w:rFonts w:cs="Times New Roman"/>
                <w:sz w:val="22"/>
                <w:szCs w:val="22"/>
                <w:lang w:val="id-ID" w:eastAsia="id-ID"/>
              </w:rPr>
              <w:t>2.</w:t>
            </w:r>
          </w:p>
        </w:tc>
        <w:tc>
          <w:tcPr>
            <w:tcW w:w="2176" w:type="pct"/>
            <w:tcBorders>
              <w:top w:val="nil"/>
              <w:bottom w:val="nil"/>
            </w:tcBorders>
          </w:tcPr>
          <w:p>
            <w:pPr>
              <w:pStyle w:val="2"/>
              <w:rPr>
                <w:rFonts w:cs="Times New Roman"/>
                <w:sz w:val="22"/>
                <w:szCs w:val="22"/>
                <w:lang w:val="id-ID" w:eastAsia="id-ID"/>
              </w:rPr>
            </w:pPr>
            <w:r>
              <w:rPr>
                <w:rFonts w:cs="Times New Roman"/>
                <w:sz w:val="22"/>
                <w:szCs w:val="22"/>
                <w:lang w:val="id-ID" w:eastAsia="id-ID"/>
              </w:rPr>
              <w:t>Sakit kepala atau pusing</w:t>
            </w:r>
          </w:p>
        </w:tc>
        <w:tc>
          <w:tcPr>
            <w:tcW w:w="511"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23" w:type="pct"/>
            <w:tcBorders>
              <w:top w:val="nil"/>
              <w:bottom w:val="nil"/>
            </w:tcBorders>
            <w:vAlign w:val="center"/>
          </w:tcPr>
          <w:p>
            <w:pPr>
              <w:pStyle w:val="2"/>
              <w:jc w:val="center"/>
              <w:rPr>
                <w:rFonts w:cs="Times New Roman"/>
                <w:sz w:val="22"/>
                <w:szCs w:val="22"/>
                <w:lang w:val="id-ID" w:eastAsia="id-ID"/>
              </w:rPr>
            </w:pPr>
          </w:p>
        </w:tc>
        <w:tc>
          <w:tcPr>
            <w:tcW w:w="572"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605" w:type="pct"/>
            <w:tcBorders>
              <w:top w:val="nil"/>
              <w:bottom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tcBorders>
              <w:top w:val="nil"/>
              <w:bottom w:val="nil"/>
            </w:tcBorders>
          </w:tcPr>
          <w:p>
            <w:pPr>
              <w:pStyle w:val="2"/>
              <w:jc w:val="center"/>
              <w:rPr>
                <w:rFonts w:cs="Times New Roman"/>
                <w:sz w:val="22"/>
                <w:szCs w:val="22"/>
                <w:lang w:val="id-ID" w:eastAsia="id-ID"/>
              </w:rPr>
            </w:pPr>
            <w:r>
              <w:rPr>
                <w:rFonts w:cs="Times New Roman"/>
                <w:sz w:val="22"/>
                <w:szCs w:val="22"/>
                <w:lang w:val="id-ID" w:eastAsia="id-ID"/>
              </w:rPr>
              <w:t>3.</w:t>
            </w:r>
          </w:p>
        </w:tc>
        <w:tc>
          <w:tcPr>
            <w:tcW w:w="2176" w:type="pct"/>
            <w:tcBorders>
              <w:top w:val="nil"/>
              <w:bottom w:val="nil"/>
            </w:tcBorders>
          </w:tcPr>
          <w:p>
            <w:pPr>
              <w:pStyle w:val="2"/>
              <w:rPr>
                <w:rFonts w:cs="Times New Roman"/>
                <w:sz w:val="22"/>
                <w:szCs w:val="22"/>
                <w:lang w:val="id-ID" w:eastAsia="id-ID"/>
              </w:rPr>
            </w:pPr>
            <w:r>
              <w:rPr>
                <w:rFonts w:cs="Times New Roman"/>
                <w:sz w:val="22"/>
                <w:szCs w:val="22"/>
                <w:lang w:val="id-ID" w:eastAsia="id-ID"/>
              </w:rPr>
              <w:t>Konsentrasi sering berkurang</w:t>
            </w:r>
          </w:p>
        </w:tc>
        <w:tc>
          <w:tcPr>
            <w:tcW w:w="511"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23" w:type="pct"/>
            <w:tcBorders>
              <w:top w:val="nil"/>
              <w:bottom w:val="nil"/>
            </w:tcBorders>
            <w:vAlign w:val="center"/>
          </w:tcPr>
          <w:p>
            <w:pPr>
              <w:pStyle w:val="2"/>
              <w:jc w:val="center"/>
              <w:rPr>
                <w:rFonts w:cs="Times New Roman"/>
                <w:sz w:val="22"/>
                <w:szCs w:val="22"/>
                <w:lang w:val="id-ID" w:eastAsia="id-ID"/>
              </w:rPr>
            </w:pPr>
          </w:p>
        </w:tc>
        <w:tc>
          <w:tcPr>
            <w:tcW w:w="572"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605" w:type="pct"/>
            <w:tcBorders>
              <w:top w:val="nil"/>
              <w:bottom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tcBorders>
              <w:top w:val="nil"/>
              <w:bottom w:val="nil"/>
            </w:tcBorders>
          </w:tcPr>
          <w:p>
            <w:pPr>
              <w:pStyle w:val="2"/>
              <w:jc w:val="center"/>
              <w:rPr>
                <w:rFonts w:cs="Times New Roman"/>
                <w:sz w:val="22"/>
                <w:szCs w:val="22"/>
                <w:lang w:val="id-ID" w:eastAsia="id-ID"/>
              </w:rPr>
            </w:pPr>
            <w:r>
              <w:rPr>
                <w:rFonts w:cs="Times New Roman"/>
                <w:sz w:val="22"/>
                <w:szCs w:val="22"/>
                <w:lang w:val="id-ID" w:eastAsia="id-ID"/>
              </w:rPr>
              <w:t>4.</w:t>
            </w:r>
          </w:p>
        </w:tc>
        <w:tc>
          <w:tcPr>
            <w:tcW w:w="2176" w:type="pct"/>
            <w:tcBorders>
              <w:top w:val="nil"/>
              <w:bottom w:val="nil"/>
            </w:tcBorders>
          </w:tcPr>
          <w:p>
            <w:pPr>
              <w:pStyle w:val="2"/>
              <w:rPr>
                <w:rFonts w:cs="Times New Roman"/>
                <w:sz w:val="22"/>
                <w:szCs w:val="22"/>
                <w:lang w:val="id-ID" w:eastAsia="id-ID"/>
              </w:rPr>
            </w:pPr>
            <w:r>
              <w:rPr>
                <w:rFonts w:cs="Times New Roman"/>
                <w:sz w:val="22"/>
                <w:szCs w:val="22"/>
                <w:lang w:val="id-ID" w:eastAsia="id-ID"/>
              </w:rPr>
              <w:t>Sesak napas saat beraktivitas</w:t>
            </w:r>
          </w:p>
        </w:tc>
        <w:tc>
          <w:tcPr>
            <w:tcW w:w="511" w:type="pct"/>
            <w:tcBorders>
              <w:top w:val="nil"/>
              <w:bottom w:val="nil"/>
            </w:tcBorders>
            <w:vAlign w:val="center"/>
          </w:tcPr>
          <w:p>
            <w:pPr>
              <w:pStyle w:val="2"/>
              <w:jc w:val="center"/>
              <w:rPr>
                <w:rFonts w:cs="Times New Roman"/>
                <w:sz w:val="22"/>
                <w:szCs w:val="22"/>
                <w:lang w:val="id-ID" w:eastAsia="id-ID"/>
              </w:rPr>
            </w:pPr>
          </w:p>
        </w:tc>
        <w:tc>
          <w:tcPr>
            <w:tcW w:w="723"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572"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605" w:type="pct"/>
            <w:tcBorders>
              <w:top w:val="nil"/>
              <w:bottom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tcBorders>
              <w:top w:val="nil"/>
              <w:bottom w:val="nil"/>
            </w:tcBorders>
          </w:tcPr>
          <w:p>
            <w:pPr>
              <w:pStyle w:val="2"/>
              <w:jc w:val="center"/>
              <w:rPr>
                <w:rFonts w:cs="Times New Roman"/>
                <w:sz w:val="22"/>
                <w:szCs w:val="22"/>
                <w:lang w:val="id-ID" w:eastAsia="id-ID"/>
              </w:rPr>
            </w:pPr>
            <w:r>
              <w:rPr>
                <w:rFonts w:cs="Times New Roman"/>
                <w:sz w:val="22"/>
                <w:szCs w:val="22"/>
                <w:lang w:val="id-ID" w:eastAsia="id-ID"/>
              </w:rPr>
              <w:t>5.</w:t>
            </w:r>
          </w:p>
        </w:tc>
        <w:tc>
          <w:tcPr>
            <w:tcW w:w="2176" w:type="pct"/>
            <w:tcBorders>
              <w:top w:val="nil"/>
              <w:bottom w:val="nil"/>
            </w:tcBorders>
          </w:tcPr>
          <w:p>
            <w:pPr>
              <w:pStyle w:val="2"/>
              <w:rPr>
                <w:rFonts w:cs="Times New Roman"/>
                <w:sz w:val="22"/>
                <w:szCs w:val="22"/>
                <w:lang w:val="id-ID" w:eastAsia="id-ID"/>
              </w:rPr>
            </w:pPr>
            <w:r>
              <w:rPr>
                <w:rFonts w:cs="Times New Roman"/>
                <w:sz w:val="22"/>
                <w:szCs w:val="22"/>
                <w:lang w:val="id-ID" w:eastAsia="id-ID"/>
              </w:rPr>
              <w:t>Kadar hemoglobin &lt;10 mg/dL</w:t>
            </w:r>
          </w:p>
        </w:tc>
        <w:tc>
          <w:tcPr>
            <w:tcW w:w="511"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23" w:type="pct"/>
            <w:tcBorders>
              <w:top w:val="nil"/>
              <w:bottom w:val="nil"/>
            </w:tcBorders>
            <w:vAlign w:val="center"/>
          </w:tcPr>
          <w:p>
            <w:pPr>
              <w:pStyle w:val="2"/>
              <w:jc w:val="center"/>
              <w:rPr>
                <w:rFonts w:cs="Times New Roman"/>
                <w:sz w:val="22"/>
                <w:szCs w:val="22"/>
                <w:lang w:val="id-ID" w:eastAsia="id-ID"/>
              </w:rPr>
            </w:pPr>
          </w:p>
        </w:tc>
        <w:tc>
          <w:tcPr>
            <w:tcW w:w="572"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605" w:type="pct"/>
            <w:tcBorders>
              <w:top w:val="nil"/>
              <w:bottom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tcBorders>
              <w:top w:val="nil"/>
              <w:bottom w:val="nil"/>
            </w:tcBorders>
          </w:tcPr>
          <w:p>
            <w:pPr>
              <w:pStyle w:val="2"/>
              <w:jc w:val="center"/>
              <w:rPr>
                <w:rFonts w:cs="Times New Roman"/>
                <w:sz w:val="22"/>
                <w:szCs w:val="22"/>
                <w:lang w:val="id-ID" w:eastAsia="id-ID"/>
              </w:rPr>
            </w:pPr>
            <w:r>
              <w:rPr>
                <w:rFonts w:cs="Times New Roman"/>
                <w:sz w:val="22"/>
                <w:szCs w:val="22"/>
                <w:lang w:val="id-ID" w:eastAsia="id-ID"/>
              </w:rPr>
              <w:t>6.</w:t>
            </w:r>
          </w:p>
        </w:tc>
        <w:tc>
          <w:tcPr>
            <w:tcW w:w="2176" w:type="pct"/>
            <w:tcBorders>
              <w:top w:val="nil"/>
              <w:bottom w:val="nil"/>
            </w:tcBorders>
          </w:tcPr>
          <w:p>
            <w:pPr>
              <w:pStyle w:val="2"/>
              <w:rPr>
                <w:rFonts w:cs="Times New Roman"/>
                <w:sz w:val="22"/>
                <w:szCs w:val="22"/>
                <w:lang w:val="id-ID" w:eastAsia="id-ID"/>
              </w:rPr>
            </w:pPr>
            <w:r>
              <w:rPr>
                <w:rFonts w:cs="Times New Roman"/>
                <w:sz w:val="22"/>
                <w:szCs w:val="22"/>
                <w:lang w:val="id-ID" w:eastAsia="id-ID"/>
              </w:rPr>
              <w:t>Anoreksia</w:t>
            </w:r>
          </w:p>
        </w:tc>
        <w:tc>
          <w:tcPr>
            <w:tcW w:w="511"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23" w:type="pct"/>
            <w:tcBorders>
              <w:top w:val="nil"/>
              <w:bottom w:val="nil"/>
            </w:tcBorders>
            <w:vAlign w:val="center"/>
          </w:tcPr>
          <w:p>
            <w:pPr>
              <w:pStyle w:val="2"/>
              <w:jc w:val="center"/>
              <w:rPr>
                <w:rFonts w:cs="Times New Roman"/>
                <w:sz w:val="22"/>
                <w:szCs w:val="22"/>
                <w:lang w:val="id-ID" w:eastAsia="id-ID"/>
              </w:rPr>
            </w:pPr>
          </w:p>
        </w:tc>
        <w:tc>
          <w:tcPr>
            <w:tcW w:w="572"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605" w:type="pct"/>
            <w:tcBorders>
              <w:top w:val="nil"/>
              <w:bottom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tcBorders>
              <w:top w:val="nil"/>
              <w:bottom w:val="nil"/>
            </w:tcBorders>
          </w:tcPr>
          <w:p>
            <w:pPr>
              <w:pStyle w:val="2"/>
              <w:jc w:val="center"/>
              <w:rPr>
                <w:rFonts w:cs="Times New Roman"/>
                <w:sz w:val="22"/>
                <w:szCs w:val="22"/>
                <w:lang w:val="id-ID" w:eastAsia="id-ID"/>
              </w:rPr>
            </w:pPr>
            <w:r>
              <w:rPr>
                <w:rFonts w:cs="Times New Roman"/>
                <w:sz w:val="22"/>
                <w:szCs w:val="22"/>
                <w:lang w:val="id-ID" w:eastAsia="id-ID"/>
              </w:rPr>
              <w:t>7.</w:t>
            </w:r>
          </w:p>
        </w:tc>
        <w:tc>
          <w:tcPr>
            <w:tcW w:w="2176" w:type="pct"/>
            <w:tcBorders>
              <w:top w:val="nil"/>
              <w:bottom w:val="nil"/>
            </w:tcBorders>
          </w:tcPr>
          <w:p>
            <w:pPr>
              <w:pStyle w:val="2"/>
              <w:rPr>
                <w:rFonts w:cs="Times New Roman"/>
                <w:sz w:val="22"/>
                <w:szCs w:val="22"/>
                <w:lang w:val="id-ID" w:eastAsia="id-ID"/>
              </w:rPr>
            </w:pPr>
            <w:r>
              <w:rPr>
                <w:rFonts w:cs="Times New Roman"/>
                <w:sz w:val="22"/>
                <w:szCs w:val="22"/>
                <w:lang w:val="id-ID" w:eastAsia="id-ID"/>
              </w:rPr>
              <w:t>Mual atau muntah</w:t>
            </w:r>
          </w:p>
        </w:tc>
        <w:tc>
          <w:tcPr>
            <w:tcW w:w="511"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23" w:type="pct"/>
            <w:tcBorders>
              <w:top w:val="nil"/>
              <w:bottom w:val="nil"/>
            </w:tcBorders>
            <w:vAlign w:val="center"/>
          </w:tcPr>
          <w:p>
            <w:pPr>
              <w:pStyle w:val="2"/>
              <w:jc w:val="center"/>
              <w:rPr>
                <w:rFonts w:cs="Times New Roman"/>
                <w:sz w:val="22"/>
                <w:szCs w:val="22"/>
                <w:lang w:val="id-ID" w:eastAsia="id-ID"/>
              </w:rPr>
            </w:pPr>
          </w:p>
        </w:tc>
        <w:tc>
          <w:tcPr>
            <w:tcW w:w="572" w:type="pct"/>
            <w:tcBorders>
              <w:top w:val="nil"/>
              <w:bottom w:val="nil"/>
            </w:tcBorders>
            <w:vAlign w:val="center"/>
          </w:tcPr>
          <w:p>
            <w:pPr>
              <w:pStyle w:val="2"/>
              <w:jc w:val="center"/>
              <w:rPr>
                <w:rFonts w:cs="Times New Roman"/>
                <w:sz w:val="22"/>
                <w:szCs w:val="22"/>
                <w:lang w:val="id-ID" w:eastAsia="id-ID"/>
              </w:rPr>
            </w:pPr>
          </w:p>
        </w:tc>
        <w:tc>
          <w:tcPr>
            <w:tcW w:w="605"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tcBorders>
              <w:top w:val="nil"/>
              <w:bottom w:val="nil"/>
            </w:tcBorders>
          </w:tcPr>
          <w:p>
            <w:pPr>
              <w:pStyle w:val="2"/>
              <w:jc w:val="center"/>
              <w:rPr>
                <w:rFonts w:cs="Times New Roman"/>
                <w:sz w:val="22"/>
                <w:szCs w:val="22"/>
                <w:lang w:val="id-ID" w:eastAsia="id-ID"/>
              </w:rPr>
            </w:pPr>
            <w:r>
              <w:rPr>
                <w:rFonts w:cs="Times New Roman"/>
                <w:sz w:val="22"/>
                <w:szCs w:val="22"/>
                <w:lang w:val="id-ID" w:eastAsia="id-ID"/>
              </w:rPr>
              <w:t>8.</w:t>
            </w:r>
          </w:p>
        </w:tc>
        <w:tc>
          <w:tcPr>
            <w:tcW w:w="2176" w:type="pct"/>
            <w:tcBorders>
              <w:top w:val="nil"/>
              <w:bottom w:val="nil"/>
            </w:tcBorders>
          </w:tcPr>
          <w:p>
            <w:pPr>
              <w:pStyle w:val="2"/>
              <w:rPr>
                <w:rFonts w:cs="Times New Roman"/>
                <w:sz w:val="22"/>
                <w:szCs w:val="22"/>
                <w:lang w:val="id-ID" w:eastAsia="id-ID"/>
              </w:rPr>
            </w:pPr>
            <w:r>
              <w:rPr>
                <w:rFonts w:cs="Times New Roman"/>
                <w:sz w:val="22"/>
                <w:szCs w:val="22"/>
                <w:lang w:val="id-ID" w:eastAsia="id-ID"/>
              </w:rPr>
              <w:t>Takikardia/ denyut jantung cepat</w:t>
            </w:r>
          </w:p>
        </w:tc>
        <w:tc>
          <w:tcPr>
            <w:tcW w:w="511" w:type="pct"/>
            <w:tcBorders>
              <w:top w:val="nil"/>
              <w:bottom w:val="nil"/>
            </w:tcBorders>
            <w:vAlign w:val="center"/>
          </w:tcPr>
          <w:p>
            <w:pPr>
              <w:pStyle w:val="2"/>
              <w:jc w:val="center"/>
              <w:rPr>
                <w:rFonts w:cs="Times New Roman"/>
                <w:sz w:val="22"/>
                <w:szCs w:val="22"/>
                <w:lang w:val="id-ID" w:eastAsia="id-ID"/>
              </w:rPr>
            </w:pPr>
          </w:p>
        </w:tc>
        <w:tc>
          <w:tcPr>
            <w:tcW w:w="723"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572" w:type="pct"/>
            <w:tcBorders>
              <w:top w:val="nil"/>
              <w:bottom w:val="nil"/>
            </w:tcBorders>
            <w:vAlign w:val="center"/>
          </w:tcPr>
          <w:p>
            <w:pPr>
              <w:pStyle w:val="2"/>
              <w:jc w:val="center"/>
              <w:rPr>
                <w:rFonts w:cs="Times New Roman"/>
                <w:sz w:val="22"/>
                <w:szCs w:val="22"/>
                <w:lang w:val="id-ID" w:eastAsia="id-ID"/>
              </w:rPr>
            </w:pPr>
          </w:p>
        </w:tc>
        <w:tc>
          <w:tcPr>
            <w:tcW w:w="605"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tcBorders>
              <w:top w:val="nil"/>
              <w:bottom w:val="nil"/>
            </w:tcBorders>
          </w:tcPr>
          <w:p>
            <w:pPr>
              <w:pStyle w:val="2"/>
              <w:jc w:val="center"/>
              <w:rPr>
                <w:rFonts w:cs="Times New Roman"/>
                <w:sz w:val="22"/>
                <w:szCs w:val="22"/>
                <w:lang w:val="id-ID" w:eastAsia="id-ID"/>
              </w:rPr>
            </w:pPr>
            <w:r>
              <w:rPr>
                <w:rFonts w:cs="Times New Roman"/>
                <w:sz w:val="22"/>
                <w:szCs w:val="22"/>
                <w:lang w:val="id-ID" w:eastAsia="id-ID"/>
              </w:rPr>
              <w:t>9.</w:t>
            </w:r>
          </w:p>
        </w:tc>
        <w:tc>
          <w:tcPr>
            <w:tcW w:w="2176" w:type="pct"/>
            <w:tcBorders>
              <w:top w:val="nil"/>
              <w:bottom w:val="nil"/>
            </w:tcBorders>
          </w:tcPr>
          <w:p>
            <w:pPr>
              <w:pStyle w:val="2"/>
              <w:rPr>
                <w:rFonts w:cs="Times New Roman"/>
                <w:sz w:val="22"/>
                <w:szCs w:val="22"/>
                <w:lang w:val="id-ID" w:eastAsia="id-ID"/>
              </w:rPr>
            </w:pPr>
            <w:r>
              <w:rPr>
                <w:rFonts w:cs="Times New Roman"/>
                <w:sz w:val="22"/>
                <w:szCs w:val="22"/>
                <w:lang w:val="id-ID" w:eastAsia="id-ID"/>
              </w:rPr>
              <w:t>Pernapasan cepat</w:t>
            </w:r>
          </w:p>
        </w:tc>
        <w:tc>
          <w:tcPr>
            <w:tcW w:w="511"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23" w:type="pct"/>
            <w:tcBorders>
              <w:top w:val="nil"/>
              <w:bottom w:val="nil"/>
            </w:tcBorders>
            <w:vAlign w:val="center"/>
          </w:tcPr>
          <w:p>
            <w:pPr>
              <w:pStyle w:val="2"/>
              <w:jc w:val="center"/>
              <w:rPr>
                <w:rFonts w:cs="Times New Roman"/>
                <w:sz w:val="22"/>
                <w:szCs w:val="22"/>
                <w:lang w:val="id-ID" w:eastAsia="id-ID"/>
              </w:rPr>
            </w:pPr>
          </w:p>
        </w:tc>
        <w:tc>
          <w:tcPr>
            <w:tcW w:w="572"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605" w:type="pct"/>
            <w:tcBorders>
              <w:top w:val="nil"/>
              <w:bottom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tcBorders>
              <w:top w:val="nil"/>
              <w:bottom w:val="nil"/>
            </w:tcBorders>
          </w:tcPr>
          <w:p>
            <w:pPr>
              <w:pStyle w:val="2"/>
              <w:jc w:val="center"/>
              <w:rPr>
                <w:rFonts w:cs="Times New Roman"/>
                <w:sz w:val="22"/>
                <w:szCs w:val="22"/>
                <w:lang w:val="id-ID" w:eastAsia="id-ID"/>
              </w:rPr>
            </w:pPr>
            <w:r>
              <w:rPr>
                <w:rFonts w:cs="Times New Roman"/>
                <w:sz w:val="22"/>
                <w:szCs w:val="22"/>
                <w:lang w:val="id-ID" w:eastAsia="id-ID"/>
              </w:rPr>
              <w:t>10.</w:t>
            </w:r>
          </w:p>
        </w:tc>
        <w:tc>
          <w:tcPr>
            <w:tcW w:w="2176" w:type="pct"/>
            <w:tcBorders>
              <w:top w:val="nil"/>
              <w:bottom w:val="nil"/>
            </w:tcBorders>
          </w:tcPr>
          <w:p>
            <w:pPr>
              <w:pStyle w:val="2"/>
              <w:rPr>
                <w:rFonts w:cs="Times New Roman"/>
                <w:sz w:val="22"/>
                <w:szCs w:val="22"/>
                <w:lang w:val="id-ID" w:eastAsia="id-ID"/>
              </w:rPr>
            </w:pPr>
            <w:r>
              <w:rPr>
                <w:rFonts w:cs="Times New Roman"/>
                <w:sz w:val="22"/>
                <w:szCs w:val="22"/>
                <w:lang w:val="id-ID" w:eastAsia="id-ID"/>
              </w:rPr>
              <w:t>Kulit dan mukosa pucat</w:t>
            </w:r>
          </w:p>
        </w:tc>
        <w:tc>
          <w:tcPr>
            <w:tcW w:w="511"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23" w:type="pct"/>
            <w:tcBorders>
              <w:top w:val="nil"/>
              <w:bottom w:val="nil"/>
            </w:tcBorders>
            <w:vAlign w:val="center"/>
          </w:tcPr>
          <w:p>
            <w:pPr>
              <w:pStyle w:val="2"/>
              <w:jc w:val="center"/>
              <w:rPr>
                <w:rFonts w:cs="Times New Roman"/>
                <w:sz w:val="22"/>
                <w:szCs w:val="22"/>
                <w:lang w:val="id-ID" w:eastAsia="id-ID"/>
              </w:rPr>
            </w:pPr>
          </w:p>
        </w:tc>
        <w:tc>
          <w:tcPr>
            <w:tcW w:w="572"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605" w:type="pct"/>
            <w:tcBorders>
              <w:top w:val="nil"/>
              <w:bottom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tcBorders>
              <w:top w:val="nil"/>
              <w:bottom w:val="nil"/>
            </w:tcBorders>
          </w:tcPr>
          <w:p>
            <w:pPr>
              <w:pStyle w:val="2"/>
              <w:jc w:val="center"/>
              <w:rPr>
                <w:rFonts w:cs="Times New Roman"/>
                <w:sz w:val="22"/>
                <w:szCs w:val="22"/>
                <w:lang w:val="id-ID" w:eastAsia="id-ID"/>
              </w:rPr>
            </w:pPr>
            <w:r>
              <w:rPr>
                <w:rFonts w:cs="Times New Roman"/>
                <w:sz w:val="22"/>
                <w:szCs w:val="22"/>
                <w:lang w:val="id-ID" w:eastAsia="id-ID"/>
              </w:rPr>
              <w:t>11.</w:t>
            </w:r>
          </w:p>
        </w:tc>
        <w:tc>
          <w:tcPr>
            <w:tcW w:w="2176" w:type="pct"/>
            <w:tcBorders>
              <w:top w:val="nil"/>
              <w:bottom w:val="nil"/>
            </w:tcBorders>
          </w:tcPr>
          <w:p>
            <w:pPr>
              <w:pStyle w:val="2"/>
              <w:rPr>
                <w:rFonts w:cs="Times New Roman"/>
                <w:sz w:val="22"/>
                <w:szCs w:val="22"/>
                <w:lang w:val="id-ID" w:eastAsia="id-ID"/>
              </w:rPr>
            </w:pPr>
            <w:r>
              <w:rPr>
                <w:rFonts w:cs="Times New Roman"/>
                <w:sz w:val="22"/>
                <w:szCs w:val="22"/>
                <w:lang w:val="id-ID" w:eastAsia="id-ID"/>
              </w:rPr>
              <w:t>Otot-otot ekstremitas lemah</w:t>
            </w:r>
          </w:p>
        </w:tc>
        <w:tc>
          <w:tcPr>
            <w:tcW w:w="511"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23" w:type="pct"/>
            <w:tcBorders>
              <w:top w:val="nil"/>
              <w:bottom w:val="nil"/>
            </w:tcBorders>
            <w:vAlign w:val="center"/>
          </w:tcPr>
          <w:p>
            <w:pPr>
              <w:pStyle w:val="2"/>
              <w:jc w:val="center"/>
              <w:rPr>
                <w:rFonts w:cs="Times New Roman"/>
                <w:sz w:val="22"/>
                <w:szCs w:val="22"/>
                <w:lang w:val="id-ID" w:eastAsia="id-ID"/>
              </w:rPr>
            </w:pPr>
          </w:p>
        </w:tc>
        <w:tc>
          <w:tcPr>
            <w:tcW w:w="572"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605" w:type="pct"/>
            <w:tcBorders>
              <w:top w:val="nil"/>
              <w:bottom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tcBorders>
              <w:top w:val="nil"/>
              <w:bottom w:val="nil"/>
            </w:tcBorders>
          </w:tcPr>
          <w:p>
            <w:pPr>
              <w:pStyle w:val="2"/>
              <w:jc w:val="center"/>
              <w:rPr>
                <w:rFonts w:cs="Times New Roman"/>
                <w:sz w:val="22"/>
                <w:szCs w:val="22"/>
                <w:lang w:val="id-ID" w:eastAsia="id-ID"/>
              </w:rPr>
            </w:pPr>
            <w:r>
              <w:rPr>
                <w:rFonts w:cs="Times New Roman"/>
                <w:sz w:val="22"/>
                <w:szCs w:val="22"/>
                <w:lang w:val="id-ID" w:eastAsia="id-ID"/>
              </w:rPr>
              <w:t>12.</w:t>
            </w:r>
          </w:p>
        </w:tc>
        <w:tc>
          <w:tcPr>
            <w:tcW w:w="2176" w:type="pct"/>
            <w:tcBorders>
              <w:top w:val="nil"/>
              <w:bottom w:val="nil"/>
            </w:tcBorders>
          </w:tcPr>
          <w:p>
            <w:pPr>
              <w:pStyle w:val="2"/>
              <w:rPr>
                <w:rFonts w:cs="Times New Roman"/>
                <w:sz w:val="22"/>
                <w:szCs w:val="22"/>
                <w:lang w:val="id-ID" w:eastAsia="id-ID"/>
              </w:rPr>
            </w:pPr>
            <w:r>
              <w:rPr>
                <w:rFonts w:cs="Times New Roman"/>
                <w:sz w:val="22"/>
                <w:szCs w:val="22"/>
                <w:lang w:val="id-ID" w:eastAsia="id-ID"/>
              </w:rPr>
              <w:t>Tekanan darah rendah &lt;120/100 mmHg</w:t>
            </w:r>
          </w:p>
        </w:tc>
        <w:tc>
          <w:tcPr>
            <w:tcW w:w="511"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23" w:type="pct"/>
            <w:tcBorders>
              <w:top w:val="nil"/>
              <w:bottom w:val="nil"/>
            </w:tcBorders>
            <w:vAlign w:val="center"/>
          </w:tcPr>
          <w:p>
            <w:pPr>
              <w:pStyle w:val="2"/>
              <w:jc w:val="center"/>
              <w:rPr>
                <w:rFonts w:cs="Times New Roman"/>
                <w:sz w:val="22"/>
                <w:szCs w:val="22"/>
                <w:lang w:val="id-ID" w:eastAsia="id-ID"/>
              </w:rPr>
            </w:pPr>
          </w:p>
        </w:tc>
        <w:tc>
          <w:tcPr>
            <w:tcW w:w="572"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605" w:type="pct"/>
            <w:tcBorders>
              <w:top w:val="nil"/>
              <w:bottom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tcBorders>
              <w:top w:val="nil"/>
              <w:bottom w:val="nil"/>
            </w:tcBorders>
          </w:tcPr>
          <w:p>
            <w:pPr>
              <w:pStyle w:val="2"/>
              <w:jc w:val="center"/>
              <w:rPr>
                <w:rFonts w:cs="Times New Roman"/>
                <w:sz w:val="22"/>
                <w:szCs w:val="22"/>
                <w:lang w:val="id-ID" w:eastAsia="id-ID"/>
              </w:rPr>
            </w:pPr>
            <w:r>
              <w:rPr>
                <w:rFonts w:cs="Times New Roman"/>
                <w:sz w:val="22"/>
                <w:szCs w:val="22"/>
                <w:lang w:val="id-ID" w:eastAsia="id-ID"/>
              </w:rPr>
              <w:t>13.</w:t>
            </w:r>
          </w:p>
        </w:tc>
        <w:tc>
          <w:tcPr>
            <w:tcW w:w="2176" w:type="pct"/>
            <w:tcBorders>
              <w:top w:val="nil"/>
              <w:bottom w:val="nil"/>
            </w:tcBorders>
          </w:tcPr>
          <w:p>
            <w:pPr>
              <w:pStyle w:val="2"/>
              <w:rPr>
                <w:rFonts w:cs="Times New Roman"/>
                <w:sz w:val="22"/>
                <w:szCs w:val="22"/>
                <w:lang w:val="id-ID" w:eastAsia="id-ID"/>
              </w:rPr>
            </w:pPr>
            <w:r>
              <w:rPr>
                <w:rFonts w:cs="Times New Roman"/>
                <w:sz w:val="22"/>
                <w:szCs w:val="22"/>
                <w:lang w:val="id-ID" w:eastAsia="id-ID"/>
              </w:rPr>
              <w:t>Riwayat anemia sebelumnya</w:t>
            </w:r>
          </w:p>
        </w:tc>
        <w:tc>
          <w:tcPr>
            <w:tcW w:w="511" w:type="pct"/>
            <w:tcBorders>
              <w:top w:val="nil"/>
              <w:bottom w:val="nil"/>
            </w:tcBorders>
            <w:vAlign w:val="center"/>
          </w:tcPr>
          <w:p>
            <w:pPr>
              <w:pStyle w:val="2"/>
              <w:jc w:val="center"/>
              <w:rPr>
                <w:rFonts w:cs="Times New Roman"/>
                <w:sz w:val="22"/>
                <w:szCs w:val="22"/>
                <w:lang w:val="id-ID" w:eastAsia="id-ID"/>
              </w:rPr>
            </w:pPr>
          </w:p>
        </w:tc>
        <w:tc>
          <w:tcPr>
            <w:tcW w:w="723"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572"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605" w:type="pct"/>
            <w:tcBorders>
              <w:top w:val="nil"/>
              <w:bottom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13" w:type="pct"/>
            <w:tcBorders>
              <w:top w:val="nil"/>
            </w:tcBorders>
          </w:tcPr>
          <w:p>
            <w:pPr>
              <w:pStyle w:val="2"/>
              <w:jc w:val="center"/>
              <w:rPr>
                <w:rFonts w:cs="Times New Roman"/>
                <w:sz w:val="22"/>
                <w:szCs w:val="22"/>
                <w:lang w:val="id-ID" w:eastAsia="id-ID"/>
              </w:rPr>
            </w:pPr>
            <w:r>
              <w:rPr>
                <w:rFonts w:cs="Times New Roman"/>
                <w:sz w:val="22"/>
                <w:szCs w:val="22"/>
                <w:lang w:val="id-ID" w:eastAsia="id-ID"/>
              </w:rPr>
              <w:t>14.</w:t>
            </w:r>
          </w:p>
        </w:tc>
        <w:tc>
          <w:tcPr>
            <w:tcW w:w="2176" w:type="pct"/>
            <w:tcBorders>
              <w:top w:val="nil"/>
            </w:tcBorders>
          </w:tcPr>
          <w:p>
            <w:pPr>
              <w:pStyle w:val="2"/>
              <w:rPr>
                <w:rFonts w:cs="Times New Roman"/>
                <w:sz w:val="22"/>
                <w:szCs w:val="22"/>
                <w:lang w:val="id-ID" w:eastAsia="id-ID"/>
              </w:rPr>
            </w:pPr>
            <w:r>
              <w:rPr>
                <w:rFonts w:cs="Times New Roman"/>
                <w:sz w:val="22"/>
                <w:szCs w:val="22"/>
                <w:lang w:val="id-ID" w:eastAsia="id-ID"/>
              </w:rPr>
              <w:t>Siklus menstruasi lancar/ tidak</w:t>
            </w:r>
          </w:p>
        </w:tc>
        <w:tc>
          <w:tcPr>
            <w:tcW w:w="511" w:type="pct"/>
            <w:tcBorders>
              <w:top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23" w:type="pct"/>
            <w:tcBorders>
              <w:top w:val="nil"/>
            </w:tcBorders>
            <w:vAlign w:val="center"/>
          </w:tcPr>
          <w:p>
            <w:pPr>
              <w:pStyle w:val="2"/>
              <w:jc w:val="center"/>
              <w:rPr>
                <w:rFonts w:cs="Times New Roman"/>
                <w:sz w:val="22"/>
                <w:szCs w:val="22"/>
                <w:lang w:val="id-ID" w:eastAsia="id-ID"/>
              </w:rPr>
            </w:pPr>
          </w:p>
        </w:tc>
        <w:tc>
          <w:tcPr>
            <w:tcW w:w="572" w:type="pct"/>
            <w:tcBorders>
              <w:top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605" w:type="pct"/>
            <w:tcBorders>
              <w:top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589" w:type="pct"/>
            <w:gridSpan w:val="2"/>
          </w:tcPr>
          <w:p>
            <w:pPr>
              <w:pStyle w:val="2"/>
              <w:jc w:val="center"/>
              <w:rPr>
                <w:rFonts w:cs="Times New Roman"/>
                <w:b/>
                <w:sz w:val="22"/>
                <w:szCs w:val="22"/>
                <w:lang w:val="id-ID" w:eastAsia="id-ID"/>
              </w:rPr>
            </w:pPr>
            <w:r>
              <w:rPr>
                <w:rFonts w:cs="Times New Roman"/>
                <w:b/>
                <w:sz w:val="22"/>
                <w:szCs w:val="22"/>
                <w:lang w:val="id-ID" w:eastAsia="id-ID"/>
              </w:rPr>
              <w:t>Jumlah</w:t>
            </w:r>
          </w:p>
        </w:tc>
        <w:tc>
          <w:tcPr>
            <w:tcW w:w="511" w:type="pct"/>
            <w:vAlign w:val="center"/>
          </w:tcPr>
          <w:p>
            <w:pPr>
              <w:pStyle w:val="2"/>
              <w:jc w:val="center"/>
              <w:rPr>
                <w:rFonts w:cs="Times New Roman"/>
                <w:b/>
                <w:sz w:val="22"/>
                <w:szCs w:val="22"/>
                <w:lang w:val="id-ID" w:eastAsia="id-ID"/>
              </w:rPr>
            </w:pPr>
            <w:r>
              <w:rPr>
                <w:rFonts w:cs="Times New Roman"/>
                <w:b/>
                <w:sz w:val="22"/>
                <w:szCs w:val="22"/>
                <w:lang w:val="id-ID" w:eastAsia="id-ID"/>
              </w:rPr>
              <w:t>11</w:t>
            </w:r>
          </w:p>
        </w:tc>
        <w:tc>
          <w:tcPr>
            <w:tcW w:w="723" w:type="pct"/>
            <w:vAlign w:val="center"/>
          </w:tcPr>
          <w:p>
            <w:pPr>
              <w:pStyle w:val="2"/>
              <w:keepNext/>
              <w:jc w:val="center"/>
              <w:rPr>
                <w:rFonts w:cs="Times New Roman"/>
                <w:b/>
                <w:sz w:val="22"/>
                <w:szCs w:val="22"/>
                <w:lang w:val="id-ID" w:eastAsia="id-ID"/>
              </w:rPr>
            </w:pPr>
            <w:r>
              <w:rPr>
                <w:rFonts w:cs="Times New Roman"/>
                <w:b/>
                <w:sz w:val="22"/>
                <w:szCs w:val="22"/>
                <w:lang w:val="id-ID" w:eastAsia="id-ID"/>
              </w:rPr>
              <w:t>3</w:t>
            </w:r>
          </w:p>
        </w:tc>
        <w:tc>
          <w:tcPr>
            <w:tcW w:w="572" w:type="pct"/>
            <w:vAlign w:val="center"/>
          </w:tcPr>
          <w:p>
            <w:pPr>
              <w:pStyle w:val="2"/>
              <w:keepNext/>
              <w:jc w:val="center"/>
              <w:rPr>
                <w:rFonts w:cs="Times New Roman"/>
                <w:b/>
                <w:sz w:val="22"/>
                <w:szCs w:val="22"/>
                <w:lang w:val="id-ID" w:eastAsia="id-ID"/>
              </w:rPr>
            </w:pPr>
            <w:r>
              <w:rPr>
                <w:rFonts w:cs="Times New Roman"/>
                <w:b/>
                <w:sz w:val="22"/>
                <w:szCs w:val="22"/>
                <w:lang w:val="id-ID" w:eastAsia="id-ID"/>
              </w:rPr>
              <w:t>12</w:t>
            </w:r>
          </w:p>
        </w:tc>
        <w:tc>
          <w:tcPr>
            <w:tcW w:w="605" w:type="pct"/>
            <w:vAlign w:val="center"/>
          </w:tcPr>
          <w:p>
            <w:pPr>
              <w:pStyle w:val="2"/>
              <w:keepNext/>
              <w:jc w:val="center"/>
              <w:rPr>
                <w:rFonts w:cs="Times New Roman"/>
                <w:b/>
                <w:sz w:val="22"/>
                <w:szCs w:val="22"/>
                <w:lang w:val="id-ID" w:eastAsia="id-ID"/>
              </w:rPr>
            </w:pPr>
            <w:r>
              <w:rPr>
                <w:rFonts w:cs="Times New Roman"/>
                <w:b/>
                <w:sz w:val="22"/>
                <w:szCs w:val="22"/>
                <w:lang w:val="id-ID" w:eastAsia="id-ID"/>
              </w:rPr>
              <w:t>2</w:t>
            </w:r>
          </w:p>
        </w:tc>
      </w:tr>
    </w:tbl>
    <w:p>
      <w:pPr>
        <w:pStyle w:val="2"/>
        <w:spacing w:line="360" w:lineRule="auto"/>
        <w:ind w:firstLine="426"/>
        <w:rPr>
          <w:rFonts w:cs="Times New Roman"/>
          <w:sz w:val="22"/>
          <w:lang w:val="id-ID"/>
        </w:rPr>
      </w:pPr>
    </w:p>
    <w:p>
      <w:pPr>
        <w:pStyle w:val="2"/>
        <w:spacing w:line="360" w:lineRule="auto"/>
        <w:ind w:firstLine="426"/>
        <w:rPr>
          <w:rFonts w:cs="Times New Roman"/>
          <w:sz w:val="22"/>
          <w:lang w:val="id-ID"/>
        </w:rPr>
      </w:pPr>
      <w:r>
        <w:rPr>
          <w:rFonts w:cs="Times New Roman"/>
          <w:sz w:val="22"/>
          <w:lang w:val="id-ID"/>
        </w:rPr>
        <w:t xml:space="preserve">Berdasarkan tabel 1, dapat disimpulkan bahwa kedua responden mengalami anemia. Dilihat dari hasil presentasi manifestasi klinis anemia pada Nn. A adalah 80% dan Nn. W adalah 85%. </w:t>
      </w:r>
    </w:p>
    <w:p>
      <w:pPr>
        <w:pStyle w:val="2"/>
        <w:spacing w:line="360" w:lineRule="auto"/>
        <w:ind w:firstLine="426"/>
        <w:rPr>
          <w:rFonts w:cs="Times New Roman"/>
          <w:sz w:val="22"/>
          <w:lang w:val="id-ID"/>
        </w:rPr>
      </w:pPr>
      <w:r>
        <w:rPr>
          <w:rFonts w:cs="Times New Roman"/>
          <w:sz w:val="22"/>
          <w:lang w:val="id-ID"/>
        </w:rPr>
        <w:t>Setelah dilakukan pengkajian anemia pada Nn. A dan Nn. W, selanjutkan peneliti melakukan pengkajian masalah keperawatan perfusi perifer tidak efektif pada kedua responden sesuai tanda dan gejala mayor perfusi perifer tidak efektif, dengan hasil pemeriksaan diuraikan pada tabel 2.</w:t>
      </w:r>
    </w:p>
    <w:p>
      <w:pPr>
        <w:pStyle w:val="9"/>
        <w:keepNext/>
        <w:spacing w:after="0"/>
        <w:jc w:val="center"/>
        <w:rPr>
          <w:rFonts w:cs="Times New Roman"/>
          <w:color w:val="auto"/>
          <w:sz w:val="22"/>
        </w:rPr>
      </w:pPr>
      <w:r>
        <w:rPr>
          <w:rFonts w:cs="Times New Roman"/>
          <w:color w:val="auto"/>
          <w:sz w:val="22"/>
        </w:rPr>
        <w:t xml:space="preserve">Tabel </w:t>
      </w:r>
      <w:r>
        <w:rPr>
          <w:rFonts w:cs="Times New Roman"/>
          <w:color w:val="auto"/>
          <w:sz w:val="22"/>
        </w:rPr>
        <w:fldChar w:fldCharType="begin"/>
      </w:r>
      <w:r>
        <w:rPr>
          <w:rFonts w:cs="Times New Roman"/>
          <w:color w:val="auto"/>
          <w:sz w:val="22"/>
        </w:rPr>
        <w:instrText xml:space="preserve"> SEQ Tabel_4._ \* ARABIC </w:instrText>
      </w:r>
      <w:r>
        <w:rPr>
          <w:rFonts w:cs="Times New Roman"/>
          <w:color w:val="auto"/>
          <w:sz w:val="22"/>
        </w:rPr>
        <w:fldChar w:fldCharType="separate"/>
      </w:r>
      <w:r>
        <w:rPr>
          <w:rFonts w:cs="Times New Roman"/>
          <w:color w:val="auto"/>
          <w:sz w:val="22"/>
        </w:rPr>
        <w:t>2</w:t>
      </w:r>
      <w:r>
        <w:rPr>
          <w:rFonts w:cs="Times New Roman"/>
          <w:color w:val="auto"/>
          <w:sz w:val="22"/>
        </w:rPr>
        <w:fldChar w:fldCharType="end"/>
      </w:r>
      <w:r>
        <w:rPr>
          <w:rFonts w:cs="Times New Roman"/>
          <w:color w:val="auto"/>
          <w:sz w:val="22"/>
        </w:rPr>
        <w:t xml:space="preserve"> Hasil pengkajian perfusi perifer tidak efektif</w:t>
      </w:r>
    </w:p>
    <w:p>
      <w:r>
        <w:drawing>
          <wp:inline distT="0" distB="0" distL="0" distR="0">
            <wp:extent cx="5745480" cy="1246505"/>
            <wp:effectExtent l="0" t="0" r="7620" b="0"/>
            <wp:docPr id="1026" name="Picture 1"/>
            <wp:cNvGraphicFramePr/>
            <a:graphic xmlns:a="http://schemas.openxmlformats.org/drawingml/2006/main">
              <a:graphicData uri="http://schemas.openxmlformats.org/drawingml/2006/picture">
                <pic:pic xmlns:pic="http://schemas.openxmlformats.org/drawingml/2006/picture">
                  <pic:nvPicPr>
                    <pic:cNvPr id="1026" name="Picture 1"/>
                    <pic:cNvPicPr/>
                  </pic:nvPicPr>
                  <pic:blipFill>
                    <a:blip r:embed="rId6" cstate="print"/>
                    <a:srcRect l="50544" t="55210" r="13163" b="30782"/>
                    <a:stretch>
                      <a:fillRect/>
                    </a:stretch>
                  </pic:blipFill>
                  <pic:spPr>
                    <a:xfrm>
                      <a:off x="0" y="0"/>
                      <a:ext cx="5745987" cy="1246909"/>
                    </a:xfrm>
                    <a:prstGeom prst="rect">
                      <a:avLst/>
                    </a:prstGeom>
                    <a:ln>
                      <a:noFill/>
                    </a:ln>
                  </pic:spPr>
                </pic:pic>
              </a:graphicData>
            </a:graphic>
          </wp:inline>
        </w:drawing>
      </w:r>
    </w:p>
    <w:p>
      <w:pPr>
        <w:pStyle w:val="2"/>
        <w:spacing w:line="360" w:lineRule="auto"/>
        <w:ind w:firstLine="426"/>
        <w:rPr>
          <w:rFonts w:cs="Times New Roman"/>
          <w:sz w:val="22"/>
          <w:lang w:val="id-ID"/>
        </w:rPr>
      </w:pPr>
      <w:r>
        <w:rPr>
          <w:rFonts w:cs="Times New Roman"/>
          <w:sz w:val="22"/>
          <w:lang w:val="id-ID"/>
        </w:rPr>
        <w:t>Hasil dari pengkajian masalah keperawatan pada tabel 2 dapat disimpulkan bahwa Nn. A dan Nn. W mengalami masalah perfusi perifer tidak efektif yang disebabkan oleh penurunan konsentrasi hemoglobin. Dengan hasil presentase tanda dan gejala mayor perfusi perifer tidak efektif adalah 100% di kedua responden. Selain melakukan pengkajian anemia dan pengkajian perfusi perifer tidak efektif pada responden, peneliti juga melakukan identifikasi kriteria inklusi pada Nn. A dan Nn. W dengan penjabaran pada tabel 3.</w:t>
      </w:r>
    </w:p>
    <w:p>
      <w:pPr>
        <w:pStyle w:val="9"/>
        <w:keepNext/>
        <w:spacing w:after="0"/>
        <w:jc w:val="center"/>
        <w:rPr>
          <w:rFonts w:cs="Times New Roman"/>
          <w:color w:val="auto"/>
          <w:sz w:val="22"/>
        </w:rPr>
      </w:pPr>
      <w:r>
        <w:rPr>
          <w:rFonts w:cs="Times New Roman"/>
          <w:color w:val="auto"/>
          <w:sz w:val="22"/>
        </w:rPr>
        <w:t xml:space="preserve">Tabel </w:t>
      </w:r>
      <w:r>
        <w:rPr>
          <w:rFonts w:cs="Times New Roman"/>
          <w:color w:val="auto"/>
          <w:sz w:val="22"/>
        </w:rPr>
        <w:fldChar w:fldCharType="begin"/>
      </w:r>
      <w:r>
        <w:rPr>
          <w:rFonts w:cs="Times New Roman"/>
          <w:color w:val="auto"/>
          <w:sz w:val="22"/>
        </w:rPr>
        <w:instrText xml:space="preserve"> SEQ Tabel_4._ \* ARABIC </w:instrText>
      </w:r>
      <w:r>
        <w:rPr>
          <w:rFonts w:cs="Times New Roman"/>
          <w:color w:val="auto"/>
          <w:sz w:val="22"/>
        </w:rPr>
        <w:fldChar w:fldCharType="separate"/>
      </w:r>
      <w:r>
        <w:rPr>
          <w:rFonts w:cs="Times New Roman"/>
          <w:color w:val="auto"/>
          <w:sz w:val="22"/>
        </w:rPr>
        <w:t>3</w:t>
      </w:r>
      <w:r>
        <w:rPr>
          <w:rFonts w:cs="Times New Roman"/>
          <w:color w:val="auto"/>
          <w:sz w:val="22"/>
        </w:rPr>
        <w:fldChar w:fldCharType="end"/>
      </w:r>
      <w:r>
        <w:rPr>
          <w:rFonts w:cs="Times New Roman"/>
          <w:color w:val="auto"/>
          <w:sz w:val="22"/>
        </w:rPr>
        <w:t xml:space="preserve"> Hasil pengkajian kriteria responden</w:t>
      </w:r>
    </w:p>
    <w:tbl>
      <w:tblPr>
        <w:tblStyle w:val="16"/>
        <w:tblW w:w="5000" w:type="pct"/>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649"/>
        <w:gridCol w:w="4368"/>
        <w:gridCol w:w="813"/>
        <w:gridCol w:w="1300"/>
        <w:gridCol w:w="813"/>
        <w:gridCol w:w="1300"/>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351" w:type="pct"/>
            <w:vMerge w:val="restart"/>
            <w:vAlign w:val="center"/>
          </w:tcPr>
          <w:p>
            <w:pPr>
              <w:pStyle w:val="2"/>
              <w:jc w:val="center"/>
              <w:rPr>
                <w:rFonts w:cs="Times New Roman"/>
                <w:b/>
                <w:sz w:val="22"/>
                <w:szCs w:val="22"/>
                <w:lang w:val="id-ID" w:eastAsia="id-ID"/>
              </w:rPr>
            </w:pPr>
            <w:r>
              <w:rPr>
                <w:rFonts w:cs="Times New Roman"/>
                <w:b/>
                <w:sz w:val="22"/>
                <w:szCs w:val="22"/>
                <w:lang w:val="id-ID" w:eastAsia="id-ID"/>
              </w:rPr>
              <w:t>No</w:t>
            </w:r>
          </w:p>
        </w:tc>
        <w:tc>
          <w:tcPr>
            <w:tcW w:w="2363" w:type="pct"/>
            <w:vMerge w:val="restart"/>
            <w:vAlign w:val="center"/>
          </w:tcPr>
          <w:p>
            <w:pPr>
              <w:pStyle w:val="2"/>
              <w:jc w:val="center"/>
              <w:rPr>
                <w:rFonts w:cs="Times New Roman"/>
                <w:b/>
                <w:sz w:val="22"/>
                <w:szCs w:val="22"/>
                <w:lang w:val="id-ID" w:eastAsia="id-ID"/>
              </w:rPr>
            </w:pPr>
            <w:r>
              <w:rPr>
                <w:rFonts w:cs="Times New Roman"/>
                <w:b/>
                <w:sz w:val="22"/>
                <w:szCs w:val="22"/>
                <w:lang w:val="id-ID" w:eastAsia="id-ID"/>
              </w:rPr>
              <w:t>Kriteria Inklusi</w:t>
            </w:r>
          </w:p>
        </w:tc>
        <w:tc>
          <w:tcPr>
            <w:tcW w:w="1143" w:type="pct"/>
            <w:gridSpan w:val="2"/>
          </w:tcPr>
          <w:p>
            <w:pPr>
              <w:pStyle w:val="2"/>
              <w:jc w:val="center"/>
              <w:rPr>
                <w:rFonts w:cs="Times New Roman"/>
                <w:b/>
                <w:sz w:val="22"/>
                <w:szCs w:val="22"/>
                <w:lang w:val="id-ID" w:eastAsia="id-ID"/>
              </w:rPr>
            </w:pPr>
            <w:r>
              <w:rPr>
                <w:rFonts w:cs="Times New Roman"/>
                <w:b/>
                <w:sz w:val="22"/>
                <w:szCs w:val="22"/>
                <w:lang w:val="id-ID" w:eastAsia="id-ID"/>
              </w:rPr>
              <w:t>Nn. A</w:t>
            </w:r>
          </w:p>
        </w:tc>
        <w:tc>
          <w:tcPr>
            <w:tcW w:w="1143" w:type="pct"/>
            <w:gridSpan w:val="2"/>
          </w:tcPr>
          <w:p>
            <w:pPr>
              <w:pStyle w:val="2"/>
              <w:jc w:val="center"/>
              <w:rPr>
                <w:rFonts w:cs="Times New Roman"/>
                <w:b/>
                <w:sz w:val="22"/>
                <w:szCs w:val="22"/>
                <w:lang w:val="id-ID" w:eastAsia="id-ID"/>
              </w:rPr>
            </w:pPr>
            <w:r>
              <w:rPr>
                <w:rFonts w:cs="Times New Roman"/>
                <w:b/>
                <w:sz w:val="22"/>
                <w:szCs w:val="22"/>
                <w:lang w:val="id-ID" w:eastAsia="id-ID"/>
              </w:rPr>
              <w:t>Nn. W</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351" w:type="pct"/>
            <w:vMerge w:val="continue"/>
            <w:tcBorders>
              <w:bottom w:val="single" w:color="auto" w:sz="4" w:space="0"/>
            </w:tcBorders>
          </w:tcPr>
          <w:p>
            <w:pPr>
              <w:pStyle w:val="2"/>
              <w:jc w:val="center"/>
              <w:rPr>
                <w:rFonts w:cs="Times New Roman"/>
                <w:b/>
                <w:sz w:val="22"/>
                <w:szCs w:val="22"/>
                <w:lang w:val="id-ID" w:eastAsia="id-ID"/>
              </w:rPr>
            </w:pPr>
          </w:p>
        </w:tc>
        <w:tc>
          <w:tcPr>
            <w:tcW w:w="2363" w:type="pct"/>
            <w:vMerge w:val="continue"/>
            <w:tcBorders>
              <w:bottom w:val="single" w:color="auto" w:sz="4" w:space="0"/>
            </w:tcBorders>
          </w:tcPr>
          <w:p>
            <w:pPr>
              <w:pStyle w:val="2"/>
              <w:jc w:val="center"/>
              <w:rPr>
                <w:rFonts w:cs="Times New Roman"/>
                <w:b/>
                <w:sz w:val="22"/>
                <w:szCs w:val="22"/>
                <w:lang w:val="id-ID" w:eastAsia="id-ID"/>
              </w:rPr>
            </w:pPr>
          </w:p>
        </w:tc>
        <w:tc>
          <w:tcPr>
            <w:tcW w:w="440" w:type="pct"/>
            <w:tcBorders>
              <w:bottom w:val="single" w:color="auto" w:sz="4" w:space="0"/>
            </w:tcBorders>
            <w:vAlign w:val="center"/>
          </w:tcPr>
          <w:p>
            <w:pPr>
              <w:pStyle w:val="2"/>
              <w:jc w:val="center"/>
              <w:rPr>
                <w:rFonts w:cs="Times New Roman"/>
                <w:b/>
                <w:sz w:val="22"/>
                <w:szCs w:val="22"/>
                <w:lang w:val="id-ID" w:eastAsia="id-ID"/>
              </w:rPr>
            </w:pPr>
            <w:r>
              <w:rPr>
                <w:rFonts w:cs="Times New Roman"/>
                <w:b/>
                <w:sz w:val="22"/>
                <w:szCs w:val="22"/>
                <w:lang w:val="id-ID" w:eastAsia="id-ID"/>
              </w:rPr>
              <w:t>Ada</w:t>
            </w:r>
          </w:p>
        </w:tc>
        <w:tc>
          <w:tcPr>
            <w:tcW w:w="703" w:type="pct"/>
            <w:tcBorders>
              <w:bottom w:val="single" w:color="auto" w:sz="4" w:space="0"/>
            </w:tcBorders>
            <w:vAlign w:val="center"/>
          </w:tcPr>
          <w:p>
            <w:pPr>
              <w:pStyle w:val="2"/>
              <w:jc w:val="center"/>
              <w:rPr>
                <w:rFonts w:cs="Times New Roman"/>
                <w:b/>
                <w:sz w:val="22"/>
                <w:szCs w:val="22"/>
                <w:lang w:val="id-ID" w:eastAsia="id-ID"/>
              </w:rPr>
            </w:pPr>
            <w:r>
              <w:rPr>
                <w:rFonts w:cs="Times New Roman"/>
                <w:b/>
                <w:sz w:val="22"/>
                <w:szCs w:val="22"/>
                <w:lang w:val="id-ID" w:eastAsia="id-ID"/>
              </w:rPr>
              <w:t>Tidak Ada</w:t>
            </w:r>
          </w:p>
        </w:tc>
        <w:tc>
          <w:tcPr>
            <w:tcW w:w="440" w:type="pct"/>
            <w:tcBorders>
              <w:bottom w:val="single" w:color="auto" w:sz="4" w:space="0"/>
            </w:tcBorders>
            <w:vAlign w:val="center"/>
          </w:tcPr>
          <w:p>
            <w:pPr>
              <w:pStyle w:val="2"/>
              <w:jc w:val="center"/>
              <w:rPr>
                <w:rFonts w:cs="Times New Roman"/>
                <w:b/>
                <w:sz w:val="22"/>
                <w:szCs w:val="22"/>
                <w:lang w:val="id-ID" w:eastAsia="id-ID"/>
              </w:rPr>
            </w:pPr>
            <w:r>
              <w:rPr>
                <w:rFonts w:cs="Times New Roman"/>
                <w:b/>
                <w:sz w:val="22"/>
                <w:szCs w:val="22"/>
                <w:lang w:val="id-ID" w:eastAsia="id-ID"/>
              </w:rPr>
              <w:t>Ada</w:t>
            </w:r>
          </w:p>
        </w:tc>
        <w:tc>
          <w:tcPr>
            <w:tcW w:w="703" w:type="pct"/>
            <w:tcBorders>
              <w:bottom w:val="single" w:color="auto" w:sz="4" w:space="0"/>
            </w:tcBorders>
            <w:vAlign w:val="center"/>
          </w:tcPr>
          <w:p>
            <w:pPr>
              <w:pStyle w:val="2"/>
              <w:jc w:val="center"/>
              <w:rPr>
                <w:rFonts w:cs="Times New Roman"/>
                <w:b/>
                <w:sz w:val="22"/>
                <w:szCs w:val="22"/>
                <w:lang w:val="id-ID" w:eastAsia="id-ID"/>
              </w:rPr>
            </w:pPr>
            <w:r>
              <w:rPr>
                <w:rFonts w:cs="Times New Roman"/>
                <w:b/>
                <w:sz w:val="22"/>
                <w:szCs w:val="22"/>
                <w:lang w:val="id-ID" w:eastAsia="id-ID"/>
              </w:rPr>
              <w:t>Tidak Ada</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351" w:type="pct"/>
            <w:tcBorders>
              <w:bottom w:val="nil"/>
            </w:tcBorders>
          </w:tcPr>
          <w:p>
            <w:pPr>
              <w:pStyle w:val="2"/>
              <w:jc w:val="center"/>
              <w:rPr>
                <w:rFonts w:cs="Times New Roman"/>
                <w:sz w:val="22"/>
                <w:szCs w:val="22"/>
                <w:lang w:val="id-ID" w:eastAsia="id-ID"/>
              </w:rPr>
            </w:pPr>
            <w:r>
              <w:rPr>
                <w:rFonts w:cs="Times New Roman"/>
                <w:sz w:val="22"/>
                <w:szCs w:val="22"/>
                <w:lang w:val="id-ID" w:eastAsia="id-ID"/>
              </w:rPr>
              <w:t>1.</w:t>
            </w:r>
          </w:p>
        </w:tc>
        <w:tc>
          <w:tcPr>
            <w:tcW w:w="2363" w:type="pct"/>
            <w:tcBorders>
              <w:bottom w:val="nil"/>
            </w:tcBorders>
          </w:tcPr>
          <w:p>
            <w:pPr>
              <w:pStyle w:val="2"/>
              <w:rPr>
                <w:rFonts w:cs="Times New Roman"/>
                <w:sz w:val="22"/>
                <w:szCs w:val="22"/>
                <w:lang w:val="id-ID" w:eastAsia="id-ID"/>
              </w:rPr>
            </w:pPr>
            <w:r>
              <w:rPr>
                <w:rFonts w:cs="Times New Roman"/>
                <w:sz w:val="22"/>
                <w:szCs w:val="22"/>
                <w:lang w:val="id-ID" w:eastAsia="id-ID"/>
              </w:rPr>
              <w:t>Seseorang dengan kadar hemoglobin &lt;10 mg/dL</w:t>
            </w:r>
          </w:p>
        </w:tc>
        <w:tc>
          <w:tcPr>
            <w:tcW w:w="440" w:type="pct"/>
            <w:tcBorders>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03" w:type="pct"/>
            <w:tcBorders>
              <w:bottom w:val="nil"/>
            </w:tcBorders>
            <w:vAlign w:val="center"/>
          </w:tcPr>
          <w:p>
            <w:pPr>
              <w:pStyle w:val="2"/>
              <w:jc w:val="center"/>
              <w:rPr>
                <w:rFonts w:cs="Times New Roman"/>
                <w:sz w:val="22"/>
                <w:szCs w:val="22"/>
                <w:lang w:val="id-ID" w:eastAsia="id-ID"/>
              </w:rPr>
            </w:pPr>
          </w:p>
        </w:tc>
        <w:tc>
          <w:tcPr>
            <w:tcW w:w="440" w:type="pct"/>
            <w:tcBorders>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03" w:type="pct"/>
            <w:tcBorders>
              <w:bottom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351" w:type="pct"/>
            <w:tcBorders>
              <w:top w:val="nil"/>
              <w:bottom w:val="nil"/>
            </w:tcBorders>
          </w:tcPr>
          <w:p>
            <w:pPr>
              <w:pStyle w:val="2"/>
              <w:jc w:val="center"/>
              <w:rPr>
                <w:rFonts w:cs="Times New Roman"/>
                <w:sz w:val="22"/>
                <w:szCs w:val="22"/>
                <w:lang w:val="id-ID" w:eastAsia="id-ID"/>
              </w:rPr>
            </w:pPr>
            <w:r>
              <w:rPr>
                <w:rFonts w:cs="Times New Roman"/>
                <w:sz w:val="22"/>
                <w:szCs w:val="22"/>
                <w:lang w:val="id-ID" w:eastAsia="id-ID"/>
              </w:rPr>
              <w:t>2.</w:t>
            </w:r>
          </w:p>
        </w:tc>
        <w:tc>
          <w:tcPr>
            <w:tcW w:w="2363" w:type="pct"/>
            <w:tcBorders>
              <w:top w:val="nil"/>
              <w:bottom w:val="nil"/>
            </w:tcBorders>
          </w:tcPr>
          <w:p>
            <w:pPr>
              <w:pStyle w:val="2"/>
              <w:rPr>
                <w:rFonts w:cs="Times New Roman"/>
                <w:sz w:val="22"/>
                <w:szCs w:val="22"/>
                <w:lang w:val="id-ID" w:eastAsia="id-ID"/>
              </w:rPr>
            </w:pPr>
            <w:r>
              <w:rPr>
                <w:rFonts w:cs="Times New Roman"/>
                <w:sz w:val="22"/>
                <w:szCs w:val="22"/>
                <w:lang w:val="id-ID" w:eastAsia="id-ID"/>
              </w:rPr>
              <w:t>Perempuan pada rentang usia 15-49 tahun</w:t>
            </w:r>
          </w:p>
        </w:tc>
        <w:tc>
          <w:tcPr>
            <w:tcW w:w="440"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03" w:type="pct"/>
            <w:tcBorders>
              <w:top w:val="nil"/>
              <w:bottom w:val="nil"/>
            </w:tcBorders>
            <w:vAlign w:val="center"/>
          </w:tcPr>
          <w:p>
            <w:pPr>
              <w:pStyle w:val="2"/>
              <w:jc w:val="center"/>
              <w:rPr>
                <w:rFonts w:cs="Times New Roman"/>
                <w:sz w:val="22"/>
                <w:szCs w:val="22"/>
                <w:lang w:val="id-ID" w:eastAsia="id-ID"/>
              </w:rPr>
            </w:pPr>
          </w:p>
        </w:tc>
        <w:tc>
          <w:tcPr>
            <w:tcW w:w="440"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03" w:type="pct"/>
            <w:tcBorders>
              <w:top w:val="nil"/>
              <w:bottom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351" w:type="pct"/>
            <w:tcBorders>
              <w:top w:val="nil"/>
              <w:bottom w:val="nil"/>
            </w:tcBorders>
          </w:tcPr>
          <w:p>
            <w:pPr>
              <w:pStyle w:val="2"/>
              <w:jc w:val="center"/>
              <w:rPr>
                <w:rFonts w:cs="Times New Roman"/>
                <w:sz w:val="22"/>
                <w:szCs w:val="22"/>
                <w:lang w:val="id-ID" w:eastAsia="id-ID"/>
              </w:rPr>
            </w:pPr>
            <w:r>
              <w:rPr>
                <w:rFonts w:cs="Times New Roman"/>
                <w:sz w:val="22"/>
                <w:szCs w:val="22"/>
                <w:lang w:val="id-ID" w:eastAsia="id-ID"/>
              </w:rPr>
              <w:t>3.</w:t>
            </w:r>
          </w:p>
        </w:tc>
        <w:tc>
          <w:tcPr>
            <w:tcW w:w="2363" w:type="pct"/>
            <w:tcBorders>
              <w:top w:val="nil"/>
              <w:bottom w:val="nil"/>
            </w:tcBorders>
          </w:tcPr>
          <w:p>
            <w:pPr>
              <w:pStyle w:val="2"/>
              <w:rPr>
                <w:rFonts w:cs="Times New Roman"/>
                <w:sz w:val="22"/>
                <w:szCs w:val="22"/>
                <w:lang w:val="id-ID" w:eastAsia="id-ID"/>
              </w:rPr>
            </w:pPr>
            <w:r>
              <w:rPr>
                <w:rFonts w:cs="Times New Roman"/>
                <w:sz w:val="22"/>
                <w:szCs w:val="22"/>
                <w:lang w:val="id-ID" w:eastAsia="id-ID"/>
              </w:rPr>
              <w:t>Menunjukkan tanda dan gejala perfusi perifer tidak efektif</w:t>
            </w:r>
          </w:p>
        </w:tc>
        <w:tc>
          <w:tcPr>
            <w:tcW w:w="440"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03" w:type="pct"/>
            <w:tcBorders>
              <w:top w:val="nil"/>
              <w:bottom w:val="nil"/>
            </w:tcBorders>
            <w:vAlign w:val="center"/>
          </w:tcPr>
          <w:p>
            <w:pPr>
              <w:pStyle w:val="2"/>
              <w:jc w:val="center"/>
              <w:rPr>
                <w:rFonts w:cs="Times New Roman"/>
                <w:sz w:val="22"/>
                <w:szCs w:val="22"/>
                <w:lang w:val="id-ID" w:eastAsia="id-ID"/>
              </w:rPr>
            </w:pPr>
          </w:p>
        </w:tc>
        <w:tc>
          <w:tcPr>
            <w:tcW w:w="440"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03" w:type="pct"/>
            <w:tcBorders>
              <w:top w:val="nil"/>
              <w:bottom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351" w:type="pct"/>
            <w:tcBorders>
              <w:top w:val="nil"/>
              <w:bottom w:val="nil"/>
            </w:tcBorders>
          </w:tcPr>
          <w:p>
            <w:pPr>
              <w:pStyle w:val="2"/>
              <w:jc w:val="center"/>
              <w:rPr>
                <w:rFonts w:cs="Times New Roman"/>
                <w:sz w:val="22"/>
                <w:szCs w:val="22"/>
                <w:lang w:val="id-ID" w:eastAsia="id-ID"/>
              </w:rPr>
            </w:pPr>
            <w:r>
              <w:rPr>
                <w:rFonts w:cs="Times New Roman"/>
                <w:sz w:val="22"/>
                <w:szCs w:val="22"/>
                <w:lang w:val="id-ID" w:eastAsia="id-ID"/>
              </w:rPr>
              <w:t>4.</w:t>
            </w:r>
          </w:p>
        </w:tc>
        <w:tc>
          <w:tcPr>
            <w:tcW w:w="2363" w:type="pct"/>
            <w:tcBorders>
              <w:top w:val="nil"/>
              <w:bottom w:val="nil"/>
            </w:tcBorders>
          </w:tcPr>
          <w:p>
            <w:pPr>
              <w:pStyle w:val="2"/>
              <w:rPr>
                <w:rFonts w:cs="Times New Roman"/>
                <w:sz w:val="22"/>
                <w:szCs w:val="22"/>
                <w:lang w:val="id-ID" w:eastAsia="id-ID"/>
              </w:rPr>
            </w:pPr>
            <w:r>
              <w:rPr>
                <w:rFonts w:cs="Times New Roman"/>
                <w:sz w:val="22"/>
                <w:szCs w:val="22"/>
                <w:lang w:val="id-ID" w:eastAsia="id-ID"/>
              </w:rPr>
              <w:t>Tidak sedang mengonsumsi tablet penambah darah (misal Fe)</w:t>
            </w:r>
          </w:p>
        </w:tc>
        <w:tc>
          <w:tcPr>
            <w:tcW w:w="440"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03" w:type="pct"/>
            <w:tcBorders>
              <w:top w:val="nil"/>
              <w:bottom w:val="nil"/>
            </w:tcBorders>
            <w:vAlign w:val="center"/>
          </w:tcPr>
          <w:p>
            <w:pPr>
              <w:pStyle w:val="2"/>
              <w:jc w:val="center"/>
              <w:rPr>
                <w:rFonts w:cs="Times New Roman"/>
                <w:sz w:val="22"/>
                <w:szCs w:val="22"/>
                <w:lang w:val="id-ID" w:eastAsia="id-ID"/>
              </w:rPr>
            </w:pPr>
          </w:p>
        </w:tc>
        <w:tc>
          <w:tcPr>
            <w:tcW w:w="440" w:type="pct"/>
            <w:tcBorders>
              <w:top w:val="nil"/>
              <w:bottom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03" w:type="pct"/>
            <w:tcBorders>
              <w:top w:val="nil"/>
              <w:bottom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351" w:type="pct"/>
            <w:tcBorders>
              <w:top w:val="nil"/>
            </w:tcBorders>
          </w:tcPr>
          <w:p>
            <w:pPr>
              <w:pStyle w:val="2"/>
              <w:jc w:val="center"/>
              <w:rPr>
                <w:rFonts w:cs="Times New Roman"/>
                <w:sz w:val="22"/>
                <w:szCs w:val="22"/>
                <w:lang w:val="id-ID" w:eastAsia="id-ID"/>
              </w:rPr>
            </w:pPr>
            <w:r>
              <w:rPr>
                <w:rFonts w:cs="Times New Roman"/>
                <w:sz w:val="22"/>
                <w:szCs w:val="22"/>
                <w:lang w:val="id-ID" w:eastAsia="id-ID"/>
              </w:rPr>
              <w:t>5.</w:t>
            </w:r>
          </w:p>
        </w:tc>
        <w:tc>
          <w:tcPr>
            <w:tcW w:w="2363" w:type="pct"/>
            <w:tcBorders>
              <w:top w:val="nil"/>
            </w:tcBorders>
          </w:tcPr>
          <w:p>
            <w:pPr>
              <w:pStyle w:val="2"/>
              <w:rPr>
                <w:rFonts w:cs="Times New Roman"/>
                <w:sz w:val="22"/>
                <w:szCs w:val="22"/>
                <w:lang w:val="id-ID" w:eastAsia="id-ID"/>
              </w:rPr>
            </w:pPr>
            <w:r>
              <w:rPr>
                <w:rFonts w:cs="Times New Roman"/>
                <w:sz w:val="22"/>
                <w:szCs w:val="22"/>
                <w:lang w:val="id-ID" w:eastAsia="id-ID"/>
              </w:rPr>
              <w:t>Bersedia menjadi subjek studi kasus</w:t>
            </w:r>
          </w:p>
        </w:tc>
        <w:tc>
          <w:tcPr>
            <w:tcW w:w="440" w:type="pct"/>
            <w:tcBorders>
              <w:top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03" w:type="pct"/>
            <w:tcBorders>
              <w:top w:val="nil"/>
            </w:tcBorders>
            <w:vAlign w:val="center"/>
          </w:tcPr>
          <w:p>
            <w:pPr>
              <w:pStyle w:val="2"/>
              <w:jc w:val="center"/>
              <w:rPr>
                <w:rFonts w:cs="Times New Roman"/>
                <w:sz w:val="22"/>
                <w:szCs w:val="22"/>
                <w:lang w:val="id-ID" w:eastAsia="id-ID"/>
              </w:rPr>
            </w:pPr>
          </w:p>
        </w:tc>
        <w:tc>
          <w:tcPr>
            <w:tcW w:w="440" w:type="pct"/>
            <w:tcBorders>
              <w:top w:val="nil"/>
            </w:tcBorders>
            <w:vAlign w:val="center"/>
          </w:tcPr>
          <w:p>
            <w:pPr>
              <w:pStyle w:val="2"/>
              <w:jc w:val="center"/>
              <w:rPr>
                <w:rFonts w:cs="Times New Roman"/>
                <w:sz w:val="22"/>
                <w:szCs w:val="22"/>
                <w:lang w:val="id-ID" w:eastAsia="id-ID"/>
              </w:rPr>
            </w:pPr>
            <w:r>
              <w:rPr>
                <w:rFonts w:cs="Times New Roman"/>
                <w:sz w:val="22"/>
                <w:szCs w:val="22"/>
                <w:lang w:val="id-ID" w:eastAsia="id-ID"/>
              </w:rPr>
              <w:t>√</w:t>
            </w:r>
          </w:p>
        </w:tc>
        <w:tc>
          <w:tcPr>
            <w:tcW w:w="703" w:type="pct"/>
            <w:tcBorders>
              <w:top w:val="nil"/>
            </w:tcBorders>
            <w:vAlign w:val="center"/>
          </w:tcPr>
          <w:p>
            <w:pPr>
              <w:pStyle w:val="2"/>
              <w:jc w:val="center"/>
              <w:rPr>
                <w:rFonts w:cs="Times New Roman"/>
                <w:sz w:val="22"/>
                <w:szCs w:val="22"/>
                <w:lang w:val="id-ID" w:eastAsia="id-ID"/>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14" w:type="pct"/>
            <w:gridSpan w:val="2"/>
          </w:tcPr>
          <w:p>
            <w:pPr>
              <w:pStyle w:val="2"/>
              <w:jc w:val="center"/>
              <w:rPr>
                <w:rFonts w:cs="Times New Roman"/>
                <w:b/>
                <w:sz w:val="22"/>
                <w:szCs w:val="22"/>
                <w:lang w:val="id-ID" w:eastAsia="id-ID"/>
              </w:rPr>
            </w:pPr>
            <w:r>
              <w:rPr>
                <w:rFonts w:cs="Times New Roman"/>
                <w:b/>
                <w:sz w:val="22"/>
                <w:szCs w:val="22"/>
                <w:lang w:val="id-ID" w:eastAsia="id-ID"/>
              </w:rPr>
              <w:t>Jumlah</w:t>
            </w:r>
          </w:p>
        </w:tc>
        <w:tc>
          <w:tcPr>
            <w:tcW w:w="440" w:type="pct"/>
            <w:vAlign w:val="center"/>
          </w:tcPr>
          <w:p>
            <w:pPr>
              <w:pStyle w:val="2"/>
              <w:jc w:val="center"/>
              <w:rPr>
                <w:rFonts w:cs="Times New Roman"/>
                <w:b/>
                <w:sz w:val="22"/>
                <w:szCs w:val="22"/>
                <w:lang w:val="id-ID" w:eastAsia="id-ID"/>
              </w:rPr>
            </w:pPr>
            <w:r>
              <w:rPr>
                <w:rFonts w:cs="Times New Roman"/>
                <w:b/>
                <w:sz w:val="22"/>
                <w:szCs w:val="22"/>
                <w:lang w:val="id-ID" w:eastAsia="id-ID"/>
              </w:rPr>
              <w:t>5</w:t>
            </w:r>
          </w:p>
        </w:tc>
        <w:tc>
          <w:tcPr>
            <w:tcW w:w="703" w:type="pct"/>
            <w:vAlign w:val="center"/>
          </w:tcPr>
          <w:p>
            <w:pPr>
              <w:pStyle w:val="2"/>
              <w:keepNext/>
              <w:jc w:val="center"/>
              <w:rPr>
                <w:rFonts w:cs="Times New Roman"/>
                <w:b/>
                <w:sz w:val="22"/>
                <w:szCs w:val="22"/>
                <w:lang w:val="id-ID" w:eastAsia="id-ID"/>
              </w:rPr>
            </w:pPr>
            <w:r>
              <w:rPr>
                <w:rFonts w:cs="Times New Roman"/>
                <w:b/>
                <w:sz w:val="22"/>
                <w:szCs w:val="22"/>
                <w:lang w:val="id-ID" w:eastAsia="id-ID"/>
              </w:rPr>
              <w:t>0</w:t>
            </w:r>
          </w:p>
        </w:tc>
        <w:tc>
          <w:tcPr>
            <w:tcW w:w="440" w:type="pct"/>
            <w:vAlign w:val="center"/>
          </w:tcPr>
          <w:p>
            <w:pPr>
              <w:pStyle w:val="2"/>
              <w:keepNext/>
              <w:jc w:val="center"/>
              <w:rPr>
                <w:rFonts w:cs="Times New Roman"/>
                <w:b/>
                <w:sz w:val="22"/>
                <w:szCs w:val="22"/>
                <w:lang w:val="id-ID" w:eastAsia="id-ID"/>
              </w:rPr>
            </w:pPr>
            <w:r>
              <w:rPr>
                <w:rFonts w:cs="Times New Roman"/>
                <w:b/>
                <w:sz w:val="22"/>
                <w:szCs w:val="22"/>
                <w:lang w:val="id-ID" w:eastAsia="id-ID"/>
              </w:rPr>
              <w:t>5</w:t>
            </w:r>
          </w:p>
        </w:tc>
        <w:tc>
          <w:tcPr>
            <w:tcW w:w="703" w:type="pct"/>
            <w:vAlign w:val="center"/>
          </w:tcPr>
          <w:p>
            <w:pPr>
              <w:pStyle w:val="2"/>
              <w:keepNext/>
              <w:jc w:val="center"/>
              <w:rPr>
                <w:rFonts w:cs="Times New Roman"/>
                <w:b/>
                <w:sz w:val="22"/>
                <w:szCs w:val="22"/>
                <w:lang w:val="id-ID" w:eastAsia="id-ID"/>
              </w:rPr>
            </w:pPr>
            <w:r>
              <w:rPr>
                <w:rFonts w:cs="Times New Roman"/>
                <w:b/>
                <w:sz w:val="22"/>
                <w:szCs w:val="22"/>
                <w:lang w:val="id-ID" w:eastAsia="id-ID"/>
              </w:rPr>
              <w:t>0</w:t>
            </w:r>
          </w:p>
        </w:tc>
      </w:tr>
    </w:tbl>
    <w:p>
      <w:pPr>
        <w:pStyle w:val="2"/>
        <w:spacing w:line="360" w:lineRule="auto"/>
        <w:ind w:firstLine="426"/>
        <w:rPr>
          <w:rFonts w:cs="Times New Roman"/>
          <w:sz w:val="22"/>
          <w:lang w:val="id-ID"/>
        </w:rPr>
      </w:pPr>
    </w:p>
    <w:p>
      <w:pPr>
        <w:pStyle w:val="2"/>
        <w:spacing w:line="360" w:lineRule="auto"/>
        <w:ind w:firstLine="426"/>
        <w:rPr>
          <w:rFonts w:cs="Times New Roman"/>
          <w:sz w:val="22"/>
          <w:lang w:val="id-ID"/>
        </w:rPr>
      </w:pPr>
      <w:r>
        <w:rPr>
          <w:rFonts w:cs="Times New Roman"/>
          <w:sz w:val="22"/>
          <w:lang w:val="id-ID"/>
        </w:rPr>
        <w:t xml:space="preserve">Kesimpulan dari tabel 3 adalah kedua responden memenuhi kriteria inklusi untuk kemudian dijadikan subjek studi kasus. </w:t>
      </w:r>
    </w:p>
    <w:p>
      <w:pPr>
        <w:pStyle w:val="2"/>
        <w:spacing w:line="360" w:lineRule="auto"/>
        <w:ind w:firstLine="426"/>
        <w:rPr>
          <w:rFonts w:cs="Times New Roman"/>
          <w:sz w:val="22"/>
          <w:lang w:val="id-ID"/>
        </w:rPr>
      </w:pPr>
      <w:r>
        <w:rPr>
          <w:rFonts w:cs="Times New Roman"/>
          <w:sz w:val="22"/>
          <w:lang w:val="id-ID"/>
        </w:rPr>
        <w:t>Berdasarkan data pengkajian, peneliti melakukan perencanaan tindakan keperawatan yaitu perawatan sirkulasi dengan fokus pemberian jus buah bit (</w:t>
      </w:r>
      <w:r>
        <w:rPr>
          <w:rFonts w:cs="Times New Roman"/>
          <w:i/>
          <w:sz w:val="22"/>
          <w:lang w:val="id-ID"/>
        </w:rPr>
        <w:t>Beta vulgaris l.)</w:t>
      </w:r>
      <w:r>
        <w:rPr>
          <w:rFonts w:cs="Times New Roman"/>
          <w:sz w:val="22"/>
          <w:lang w:val="id-ID"/>
        </w:rPr>
        <w:t xml:space="preserve"> selama 7 hari dengan dosis 250 ml/ hari, untuk menyelesaikan masalah keperawatan perfusi perifer tidak efektif pada anemia dan untuk mengetahui hasil tindakan yang diberikan.</w:t>
      </w:r>
    </w:p>
    <w:p>
      <w:pPr>
        <w:pStyle w:val="2"/>
        <w:spacing w:line="360" w:lineRule="auto"/>
        <w:ind w:firstLine="426"/>
        <w:rPr>
          <w:rFonts w:cs="Times New Roman"/>
          <w:sz w:val="22"/>
          <w:lang w:val="id-ID"/>
        </w:rPr>
      </w:pPr>
      <w:r>
        <w:rPr>
          <w:rFonts w:cs="Times New Roman"/>
          <w:sz w:val="22"/>
          <w:lang w:val="id-ID"/>
        </w:rPr>
        <w:t>Evaluasi dilakukan pada setiap selesai melakukan tindakan keperawatan pemberian jus buah bit (</w:t>
      </w:r>
      <w:r>
        <w:rPr>
          <w:rFonts w:cs="Times New Roman"/>
          <w:i/>
          <w:sz w:val="22"/>
          <w:lang w:val="id-ID"/>
        </w:rPr>
        <w:t>Beta vulgaris l.)</w:t>
      </w:r>
      <w:r>
        <w:rPr>
          <w:rFonts w:cs="Times New Roman"/>
          <w:sz w:val="22"/>
          <w:lang w:val="id-ID"/>
        </w:rPr>
        <w:t>. Evaluasi terakhir Nn. A dilakukan pada 7 Januari 2023, sedangkan evaluasi terakhir Nn. W dilakukan pada 8 Januari 2023. Tujuan dilakukan evaluasi adalah untuk mengetahui keefektifan jus buah bit (</w:t>
      </w:r>
      <w:r>
        <w:rPr>
          <w:rFonts w:cs="Times New Roman"/>
          <w:i/>
          <w:sz w:val="22"/>
          <w:lang w:val="id-ID"/>
        </w:rPr>
        <w:t>Beta vulgaris l.)</w:t>
      </w:r>
      <w:r>
        <w:rPr>
          <w:rFonts w:cs="Times New Roman"/>
          <w:sz w:val="22"/>
          <w:lang w:val="id-ID"/>
        </w:rPr>
        <w:t xml:space="preserve"> dalam mengatasi perfusi perifer tidak efektif pada anemia, yang diobservasi menggunakan luaran perfusi perifer dengan harapan perfusi perifer meningkat setelah diberikan intervensi keperawatan selama tujuh hari berturut-turut. Indikator hasil observasi tindakan dijelaskan pada tabel 4. </w:t>
      </w:r>
    </w:p>
    <w:p>
      <w:pPr>
        <w:pStyle w:val="9"/>
        <w:keepNext/>
        <w:spacing w:after="0"/>
        <w:jc w:val="center"/>
        <w:rPr>
          <w:rFonts w:cs="Times New Roman"/>
          <w:color w:val="auto"/>
          <w:sz w:val="22"/>
        </w:rPr>
      </w:pPr>
      <w:r>
        <w:rPr>
          <w:rFonts w:cs="Times New Roman"/>
          <w:color w:val="auto"/>
          <w:sz w:val="22"/>
        </w:rPr>
        <w:t xml:space="preserve">Tabel </w:t>
      </w:r>
      <w:r>
        <w:rPr>
          <w:rFonts w:cs="Times New Roman"/>
          <w:color w:val="auto"/>
          <w:sz w:val="22"/>
        </w:rPr>
        <w:fldChar w:fldCharType="begin"/>
      </w:r>
      <w:r>
        <w:rPr>
          <w:rFonts w:cs="Times New Roman"/>
          <w:color w:val="auto"/>
          <w:sz w:val="22"/>
        </w:rPr>
        <w:instrText xml:space="preserve"> SEQ Tabel_4._ \* ARABIC </w:instrText>
      </w:r>
      <w:r>
        <w:rPr>
          <w:rFonts w:cs="Times New Roman"/>
          <w:color w:val="auto"/>
          <w:sz w:val="22"/>
        </w:rPr>
        <w:fldChar w:fldCharType="separate"/>
      </w:r>
      <w:r>
        <w:rPr>
          <w:rFonts w:cs="Times New Roman"/>
          <w:color w:val="auto"/>
          <w:sz w:val="22"/>
        </w:rPr>
        <w:t>4</w:t>
      </w:r>
      <w:r>
        <w:rPr>
          <w:rFonts w:cs="Times New Roman"/>
          <w:color w:val="auto"/>
          <w:sz w:val="22"/>
        </w:rPr>
        <w:fldChar w:fldCharType="end"/>
      </w:r>
      <w:r>
        <w:rPr>
          <w:rFonts w:cs="Times New Roman"/>
          <w:color w:val="auto"/>
          <w:sz w:val="22"/>
        </w:rPr>
        <w:t xml:space="preserve"> Hasil observasi tindakan</w:t>
      </w:r>
    </w:p>
    <w:p>
      <w:r>
        <w:drawing>
          <wp:inline distT="0" distB="0" distL="0" distR="0">
            <wp:extent cx="5773420" cy="4220845"/>
            <wp:effectExtent l="0" t="0" r="0" b="8255"/>
            <wp:docPr id="1027" name="Picture 1"/>
            <wp:cNvGraphicFramePr/>
            <a:graphic xmlns:a="http://schemas.openxmlformats.org/drawingml/2006/main">
              <a:graphicData uri="http://schemas.openxmlformats.org/drawingml/2006/picture">
                <pic:pic xmlns:pic="http://schemas.openxmlformats.org/drawingml/2006/picture">
                  <pic:nvPicPr>
                    <pic:cNvPr id="1027" name="Picture 1"/>
                    <pic:cNvPicPr/>
                  </pic:nvPicPr>
                  <pic:blipFill>
                    <a:blip r:embed="rId7" cstate="print"/>
                    <a:srcRect l="43492" t="32123" r="6683" b="3083"/>
                    <a:stretch>
                      <a:fillRect/>
                    </a:stretch>
                  </pic:blipFill>
                  <pic:spPr>
                    <a:xfrm>
                      <a:off x="0" y="0"/>
                      <a:ext cx="5773523" cy="4221126"/>
                    </a:xfrm>
                    <a:prstGeom prst="rect">
                      <a:avLst/>
                    </a:prstGeom>
                    <a:ln>
                      <a:noFill/>
                    </a:ln>
                  </pic:spPr>
                </pic:pic>
              </a:graphicData>
            </a:graphic>
          </wp:inline>
        </w:drawing>
      </w:r>
    </w:p>
    <w:p>
      <w:pPr>
        <w:pStyle w:val="2"/>
        <w:spacing w:line="360" w:lineRule="auto"/>
        <w:ind w:firstLine="426"/>
        <w:rPr>
          <w:rFonts w:cs="Times New Roman"/>
          <w:sz w:val="22"/>
          <w:lang w:val="id-ID"/>
        </w:rPr>
      </w:pPr>
      <w:r>
        <w:rPr>
          <w:rFonts w:cs="Times New Roman"/>
          <w:sz w:val="22"/>
          <w:lang w:val="id-ID"/>
        </w:rPr>
        <w:t>Tabel 4 menunjukkan bahwa Nn. A dan Nn. W mengalami peningkatan perfusi perifer setelah mengonsumsi jus buah bit (</w:t>
      </w:r>
      <w:r>
        <w:rPr>
          <w:rFonts w:cs="Times New Roman"/>
          <w:i/>
          <w:sz w:val="22"/>
          <w:lang w:val="id-ID"/>
        </w:rPr>
        <w:t>Beta vulgaris l.)</w:t>
      </w:r>
      <w:r>
        <w:rPr>
          <w:rFonts w:cs="Times New Roman"/>
          <w:sz w:val="22"/>
          <w:lang w:val="id-ID"/>
        </w:rPr>
        <w:t xml:space="preserve"> selama tujuh hari.</w:t>
      </w:r>
    </w:p>
    <w:p>
      <w:pPr>
        <w:pStyle w:val="2"/>
        <w:spacing w:line="360" w:lineRule="auto"/>
        <w:rPr>
          <w:rFonts w:cs="Times New Roman"/>
          <w:sz w:val="22"/>
          <w:lang w:val="id-ID"/>
        </w:rPr>
      </w:pPr>
    </w:p>
    <w:p>
      <w:pPr>
        <w:pStyle w:val="2"/>
        <w:spacing w:line="360" w:lineRule="auto"/>
        <w:rPr>
          <w:rFonts w:cs="Times New Roman"/>
          <w:sz w:val="22"/>
          <w:lang w:val="id-ID"/>
        </w:rPr>
      </w:pPr>
    </w:p>
    <w:p>
      <w:pPr>
        <w:pStyle w:val="2"/>
        <w:spacing w:line="360" w:lineRule="auto"/>
        <w:rPr>
          <w:rFonts w:cs="Times New Roman"/>
          <w:sz w:val="22"/>
          <w:lang w:val="id-ID"/>
        </w:rPr>
      </w:pPr>
    </w:p>
    <w:p>
      <w:pPr>
        <w:pStyle w:val="2"/>
        <w:spacing w:line="360" w:lineRule="auto"/>
        <w:rPr>
          <w:rFonts w:cs="Times New Roman"/>
          <w:sz w:val="22"/>
          <w:lang w:val="id-ID"/>
        </w:rPr>
      </w:pPr>
    </w:p>
    <w:p>
      <w:pPr>
        <w:pStyle w:val="2"/>
        <w:spacing w:line="360" w:lineRule="auto"/>
        <w:rPr>
          <w:rFonts w:cs="Times New Roman"/>
          <w:b/>
          <w:sz w:val="22"/>
          <w:lang w:val="id-ID"/>
        </w:rPr>
      </w:pPr>
      <w:r>
        <w:rPr>
          <w:rFonts w:cs="Times New Roman"/>
          <w:b/>
          <w:sz w:val="22"/>
          <w:lang w:val="id-ID"/>
        </w:rPr>
        <w:t>PEMBAHASAN</w:t>
      </w:r>
    </w:p>
    <w:p>
      <w:pPr>
        <w:pStyle w:val="2"/>
        <w:spacing w:line="360" w:lineRule="auto"/>
        <w:ind w:firstLine="426"/>
        <w:rPr>
          <w:rFonts w:cs="Times New Roman"/>
          <w:sz w:val="22"/>
          <w:lang w:val="id-ID"/>
        </w:rPr>
      </w:pPr>
      <w:r>
        <w:rPr>
          <w:rFonts w:cs="Times New Roman"/>
          <w:sz w:val="22"/>
          <w:lang w:val="id-ID"/>
        </w:rPr>
        <w:t>Hasil pelaksanaan studi kasus yang berfokus pada pemberian diit pasien anemia yang mengalami perfusi perifer tidak efektif dengan pemberian jus buah bit (</w:t>
      </w:r>
      <w:r>
        <w:rPr>
          <w:rFonts w:cs="Times New Roman"/>
          <w:i/>
          <w:sz w:val="22"/>
          <w:lang w:val="id-ID"/>
        </w:rPr>
        <w:t>Beta vulgaris l.)</w:t>
      </w:r>
      <w:r>
        <w:rPr>
          <w:rFonts w:cs="Times New Roman"/>
          <w:sz w:val="22"/>
          <w:lang w:val="id-ID"/>
        </w:rPr>
        <w:t xml:space="preserve"> yaitu sebagai berikut :</w:t>
      </w:r>
    </w:p>
    <w:p>
      <w:pPr>
        <w:pStyle w:val="5"/>
        <w:spacing w:after="0" w:line="360" w:lineRule="auto"/>
        <w:jc w:val="both"/>
        <w:rPr>
          <w:rFonts w:cs="Times New Roman"/>
          <w:sz w:val="22"/>
          <w:lang w:val="id-ID"/>
        </w:rPr>
      </w:pPr>
      <w:bookmarkStart w:id="1" w:name="_Toc129069671"/>
      <w:r>
        <w:rPr>
          <w:rFonts w:cs="Times New Roman"/>
          <w:sz w:val="22"/>
          <w:lang w:val="id-ID"/>
        </w:rPr>
        <w:t>Identifikasi Pasien</w:t>
      </w:r>
      <w:bookmarkEnd w:id="1"/>
    </w:p>
    <w:p>
      <w:pPr>
        <w:pStyle w:val="2"/>
        <w:spacing w:line="360" w:lineRule="auto"/>
        <w:ind w:firstLine="426"/>
        <w:rPr>
          <w:rFonts w:cs="Times New Roman"/>
          <w:sz w:val="22"/>
          <w:lang w:val="id-ID"/>
        </w:rPr>
      </w:pPr>
      <w:r>
        <w:rPr>
          <w:rFonts w:cs="Times New Roman"/>
          <w:sz w:val="22"/>
          <w:lang w:val="id-ID"/>
        </w:rPr>
        <w:t>Keseluruhan manifestasi klinis yang dialami kedua responen studi kasus adalah sama, diantaranya kelelahan, kelemahan, sakit kepala/ pusing, dispnea, takikardi, kulit pucat dan anoreksia</w:t>
      </w:r>
      <w:r>
        <w:rPr>
          <w:rFonts w:cs="Times New Roman"/>
          <w:sz w:val="22"/>
          <w:lang w:val="id-ID"/>
        </w:rPr>
        <w:fldChar w:fldCharType="begin"/>
      </w:r>
      <w:r>
        <w:rPr>
          <w:rFonts w:cs="Times New Roman"/>
          <w:sz w:val="22"/>
          <w:lang w:val="id-ID"/>
        </w:rPr>
        <w:instrText xml:space="preserve">ADDIN CSL_CITATION {"citationItems":[{"id":"ITEM-1","itemData":{"author":[{"dropping-particle":"","family":"Abdulrazzaq Othman Alagbare","given":"","non-dropping-particle":"","parse-names":false,"suffix":""}],"container-title":"Hematology Lecture Notes For Bachelor of Medical Laboratory Science","id":"ITEM-1","issued":{"date-parts":[["2017"]]},"publisher":"Hematology Lecture Notes","publisher-place":"Yemen-Sana'a","title":"Erythrocyte Disorders (Anemia)","type":"book"},"uris":["http://www.mendeley.com/documents/?uuid=350afaaa-d82f-4924-80c6-c7cc3acd7243"]}],"mendeley":{"formattedCitation":"(Abdulrazzaq Othman Alagbare, 2017)","plainTextFormattedCitation":"(Abdulrazzaq Othman Alagbare, 2017)","previouslyFormattedCitation":"(Abdulrazzaq Othman Alagbare, 2017)"},"properties":{"noteIndex":0},"schema":"https://github.com/citation-style-language/schema/raw/master/csl-citation.json"}</w:instrText>
      </w:r>
      <w:r>
        <w:rPr>
          <w:rFonts w:cs="Times New Roman"/>
          <w:sz w:val="22"/>
          <w:lang w:val="id-ID"/>
        </w:rPr>
        <w:fldChar w:fldCharType="separate"/>
      </w:r>
      <w:r>
        <w:rPr>
          <w:rFonts w:cs="Times New Roman"/>
          <w:sz w:val="22"/>
          <w:lang w:val="id-ID"/>
        </w:rPr>
        <w:t>(Abdulrazzaq Othman Alagbare, 2017)</w:t>
      </w:r>
      <w:r>
        <w:rPr>
          <w:rFonts w:cs="Times New Roman"/>
          <w:sz w:val="22"/>
          <w:lang w:val="id-ID"/>
        </w:rPr>
        <w:fldChar w:fldCharType="end"/>
      </w:r>
      <w:r>
        <w:rPr>
          <w:rFonts w:cs="Times New Roman"/>
          <w:sz w:val="22"/>
          <w:lang w:val="id-ID"/>
        </w:rPr>
        <w:t>. Kurang konsentrasi, otot-otot ekstremitas lemah, tekanan darah rendah juga ditemui pada penderita anemia</w:t>
      </w:r>
      <w:r>
        <w:rPr>
          <w:rFonts w:cs="Times New Roman"/>
          <w:sz w:val="22"/>
          <w:lang w:val="id-ID"/>
        </w:rPr>
        <w:fldChar w:fldCharType="begin"/>
      </w:r>
      <w:r>
        <w:rPr>
          <w:rFonts w:cs="Times New Roman"/>
          <w:sz w:val="22"/>
          <w:lang w:val="id-ID"/>
        </w:rPr>
        <w:instrText xml:space="preserve">ADDIN CSL_CITATION {"citationItems":[{"id":"ITEM-1","itemData":{"author":[{"dropping-particle":"","family":"Mubin","given":"A Halim","non-dropping-particle":"","parse-names":false,"suffix":""}],"edition":"3","editor":[{"dropping-particle":"","family":"Suyono","given":"Y Joko","non-dropping-particle":"","parse-names":false,"suffix":""}],"id":"ITEM-1","issued":{"date-parts":[["2014"]]},"publisher":"EGC","publisher-place":"Jakarta","title":"Paduan Praktis Ilmu Penyakit Dalam","type":"book"},"uris":["http://www.mendeley.com/documents/?uuid=5efc5bc0-c451-4c2f-b1d1-39659af7b0e2"]},{"id":"ITEM-2","itemData":{"author":[{"dropping-particle":"","family":"Smeltzer","given":"","non-dropping-particle":"","parse-names":false,"suffix":""},{"dropping-particle":"","family":"Bare's","given":"","non-dropping-particle":"","parse-names":false,"suffix":""}],"edition":"4","editor":[{"dropping-particle":"","family":"Farrell","given":"Maureen","non-dropping-particle":"","parse-names":false,"suffix":""}],"id":"ITEM-2","issued":{"date-parts":[["2017"]]},"publisher":"Wolters Kluwer","publisher-place":"China","title":"Smeltzer &amp; Bare's Textbook of Medical-Surgical Nursing ","type":"book","volume":"1"},"uris":["http://www.mendeley.com/documents/?uuid=030299b3-ff05-3732-8236-04b445b86743"]}],"mendeley":{"formattedCitation":"(Mubin, 2014; Smeltzer &amp; Bare’s, 2017)","plainTextFormattedCitation":"(Mubin, 2014; Smeltzer &amp; Bare’s, 2017)","previouslyFormattedCitation":"(Mubin, 2014; Smeltzer &amp; Bare’s, 2017)"},"properties":{"noteIndex":0},"schema":"https://github.com/citation-style-language/schema/raw/master/csl-citation.json"}</w:instrText>
      </w:r>
      <w:r>
        <w:rPr>
          <w:rFonts w:cs="Times New Roman"/>
          <w:sz w:val="22"/>
          <w:lang w:val="id-ID"/>
        </w:rPr>
        <w:fldChar w:fldCharType="separate"/>
      </w:r>
      <w:r>
        <w:rPr>
          <w:rFonts w:cs="Times New Roman"/>
          <w:sz w:val="22"/>
          <w:lang w:val="id-ID"/>
        </w:rPr>
        <w:t>(Mubin, 2014; Smeltzer &amp; Bare’s, 2017)</w:t>
      </w:r>
      <w:r>
        <w:rPr>
          <w:rFonts w:cs="Times New Roman"/>
          <w:sz w:val="22"/>
          <w:lang w:val="id-ID"/>
        </w:rPr>
        <w:fldChar w:fldCharType="end"/>
      </w:r>
      <w:r>
        <w:rPr>
          <w:rFonts w:cs="Times New Roman"/>
          <w:sz w:val="22"/>
          <w:lang w:val="id-ID"/>
        </w:rPr>
        <w:t xml:space="preserve">. Mudah lelah atau kelelahan disebabkan oleh badan yang kurang oksigen khususnya pada jaringan ototnya; dampak yang terlihat apabila otak mengalami kekurangan oksigen yaitu pusing dan sakit kepala sebab kurangnya oksigen karna berkurangnya kapasitas transportasi Hb; sulit bernafas, sesak nafas, hal itu terjadi karna kurangnya oksigen yang mengakibatkan nafas menjadi lebih cepat; palpitasi, cepatnya detak jantung serta meningkatnya denyut nadi; dan memucatnya wajah, mulut, kuku, konjungtiva, dan telapak tangan </w:t>
      </w:r>
      <w:r>
        <w:rPr>
          <w:rFonts w:cs="Times New Roman"/>
          <w:sz w:val="22"/>
          <w:lang w:val="id-ID"/>
        </w:rPr>
        <w:fldChar w:fldCharType="begin"/>
      </w:r>
      <w:r>
        <w:rPr>
          <w:rFonts w:cs="Times New Roman"/>
          <w:sz w:val="22"/>
          <w:lang w:val="id-ID"/>
        </w:rPr>
        <w:instrText xml:space="preserve">ADDIN CSL_CITATION {"citationItems":[{"id":"ITEM-1","itemData":{"ISBN":"9786239141998","abstract":"Buku ini disusun mengingat permasalahan gizi pada remaja puteri khususnya anemia saat ini masih belum teratasi dan belum begitu banyak best practice upaya untuk mencegah ataupun menangulangi anemia dengan menggunakan pendekatan edukatif.","author":[{"dropping-particle":"","family":"Rahayu","given":"Atikah","non-dropping-particle":"","parse-names":false,"suffix":""},{"dropping-particle":"","family":"Yulidasari","given":"Fahrini","non-dropping-particle":"","parse-names":false,"suffix":""},{"dropping-particle":"","family":"Putri","given":"Andini Octaviana","non-dropping-particle":"","parse-names":false,"suffix":""},{"dropping-particle":"","family":"Anggraini","given":"Lia","non-dropping-particle":"","parse-names":false,"suffix":""}],"container-title":"CV Mine","editor":[{"dropping-particle":"","family":"Noor","given":"Meitria Syahadatina","non-dropping-particle":"","parse-names":false,"suffix":""},{"dropping-particle":"","family":"Rahman","given":"Fauzie","non-dropping-particle":"","parse-names":false,"suffix":""},{"dropping-particle":"","family":"Rosadi","given":"Dian","non-dropping-particle":"","parse-names":false,"suffix":""},{"dropping-particle":"","family":"Sari","given":"Ayu Riana","non-dropping-particle":"","parse-names":false,"suffix":""},{"dropping-particle":"","family":"Laily","given":"Nur","non-dropping-particle":"","parse-names":false,"suffix":""},{"dropping-particle":"","family":"Anhar","given":"Vina Yulia","non-dropping-particle":"","parse-names":false,"suffix":""}],"id":"ITEM-1","issued":{"date-parts":[["2019"]]},"number-of-pages":"1-102","publisher":"CV Mine","publisher-place":"Yogyakarta","title":"Metode Orkes-Ku (Raport Kesehatanku) dalam Mengidentifikasi Potensi Kejadian Anemia Gizi pada Remaja Putri","type":"book"},"uris":["http://www.mendeley.com/documents/?uuid=8c8e917e-1d35-452c-a592-75ece2bf2f9c"]}],"mendeley":{"formattedCitation":"(Rahayu et al., 2019)","plainTextFormattedCitation":"(Rahayu et al., 2019)","previouslyFormattedCitation":"(Rahayu et al., 2019)"},"properties":{"noteIndex":0},"schema":"https://github.com/citation-style-language/schema/raw/master/csl-citation.json"}</w:instrText>
      </w:r>
      <w:r>
        <w:rPr>
          <w:rFonts w:cs="Times New Roman"/>
          <w:sz w:val="22"/>
          <w:lang w:val="id-ID"/>
        </w:rPr>
        <w:fldChar w:fldCharType="separate"/>
      </w:r>
      <w:r>
        <w:rPr>
          <w:rFonts w:cs="Times New Roman"/>
          <w:sz w:val="22"/>
          <w:lang w:val="id-ID"/>
        </w:rPr>
        <w:t>(Rahayu et al., 2019)</w:t>
      </w:r>
      <w:r>
        <w:rPr>
          <w:rFonts w:cs="Times New Roman"/>
          <w:sz w:val="22"/>
          <w:lang w:val="id-ID"/>
        </w:rPr>
        <w:fldChar w:fldCharType="end"/>
      </w:r>
      <w:r>
        <w:rPr>
          <w:rFonts w:cs="Times New Roman"/>
          <w:sz w:val="22"/>
          <w:lang w:val="id-ID"/>
        </w:rPr>
        <w:t xml:space="preserve">. Peningkatan detak jantung atau takikardi dapat juga disebabkan oleh tubuh yang berusaha untuk mensuplai oksigen ke jaringan-jaringan, </w:t>
      </w:r>
      <w:r>
        <w:rPr>
          <w:rFonts w:cs="Times New Roman"/>
          <w:i/>
          <w:sz w:val="22"/>
          <w:lang w:val="id-ID"/>
        </w:rPr>
        <w:t>dyspnea</w:t>
      </w:r>
      <w:r>
        <w:rPr>
          <w:rFonts w:cs="Times New Roman"/>
          <w:sz w:val="22"/>
          <w:lang w:val="id-ID"/>
        </w:rPr>
        <w:t xml:space="preserve"> indikatornya ketika tubuh mensuplai oksigen ke jaringan darah, dan pusing akibat kurangnya pasokan darah menuju otak. Penderita anemia merasakan lelah akibat peningkatan oksigen di bagian-bagian dalam tubuh termasuk rangka dan otot jantung, memucatnya warna kulit disebabkan karna kurangnya hipoksia dan kehilangan nafsu makan karena sistem saraf pusat mengalami penurunan aliran darah pada saluran cerna </w:t>
      </w:r>
      <w:r>
        <w:rPr>
          <w:rFonts w:cs="Times New Roman"/>
          <w:sz w:val="22"/>
          <w:lang w:val="id-ID"/>
        </w:rPr>
        <w:fldChar w:fldCharType="begin"/>
      </w:r>
      <w:r>
        <w:rPr>
          <w:rFonts w:cs="Times New Roman"/>
          <w:sz w:val="22"/>
          <w:lang w:val="id-ID"/>
        </w:rPr>
        <w:instrText xml:space="preserve">ADDIN CSL_CITATION {"citationItems":[{"id":"ITEM-1","itemData":{"ISBN":"9791709580","author":[{"dropping-particle":"","family":"Soebroto","given":"Ikhsan","non-dropping-particle":"","parse-names":false,"suffix":""}],"id":"ITEM-1","issued":{"date-parts":[["2020"]]},"publisher":"Desa Pustaka Indonesia","publisher-place":"Temanggung","title":"Cara Mudah Mengatasi Problem Anemia","type":"book"},"uris":["http://www.mendeley.com/documents/?uuid=767f716d-5f29-4bbd-b213-1074b710f26b"]}],"mendeley":{"formattedCitation":"(Soebroto, 2020)","plainTextFormattedCitation":"(Soebroto, 2020)","previouslyFormattedCitation":"(Soebroto, 2020)"},"properties":{"noteIndex":0},"schema":"https://github.com/citation-style-language/schema/raw/master/csl-citation.json"}</w:instrText>
      </w:r>
      <w:r>
        <w:rPr>
          <w:rFonts w:cs="Times New Roman"/>
          <w:sz w:val="22"/>
          <w:lang w:val="id-ID"/>
        </w:rPr>
        <w:fldChar w:fldCharType="separate"/>
      </w:r>
      <w:r>
        <w:rPr>
          <w:rFonts w:cs="Times New Roman"/>
          <w:sz w:val="22"/>
          <w:lang w:val="id-ID"/>
        </w:rPr>
        <w:t>(Soebroto, 2020)</w:t>
      </w:r>
      <w:r>
        <w:rPr>
          <w:rFonts w:cs="Times New Roman"/>
          <w:sz w:val="22"/>
          <w:lang w:val="id-ID"/>
        </w:rPr>
        <w:fldChar w:fldCharType="end"/>
      </w:r>
      <w:r>
        <w:rPr>
          <w:rFonts w:cs="Times New Roman"/>
          <w:sz w:val="22"/>
          <w:lang w:val="id-ID"/>
        </w:rPr>
        <w:t>.</w:t>
      </w:r>
    </w:p>
    <w:p>
      <w:pPr>
        <w:pStyle w:val="2"/>
        <w:spacing w:line="360" w:lineRule="auto"/>
        <w:ind w:firstLine="426"/>
        <w:rPr>
          <w:rFonts w:cs="Times New Roman"/>
          <w:sz w:val="22"/>
          <w:lang w:val="id-ID"/>
        </w:rPr>
      </w:pPr>
      <w:r>
        <w:rPr>
          <w:rFonts w:cs="Times New Roman"/>
          <w:sz w:val="22"/>
          <w:lang w:val="id-ID"/>
        </w:rPr>
        <w:t>Kriteria inklusi yang digunakan adalah responden dengan jenis kelamin perempuan pada rentang umur 15 sampai 49 tahun, dipilih dengan alasan kehilangan darah menstruasi yang signifikan pada remaja atau wanita dapat menyebabkan anemia</w:t>
      </w:r>
      <w:r>
        <w:rPr>
          <w:rFonts w:cs="Times New Roman"/>
          <w:sz w:val="22"/>
          <w:lang w:val="id-ID"/>
        </w:rPr>
        <w:fldChar w:fldCharType="begin"/>
      </w:r>
      <w:r>
        <w:rPr>
          <w:rFonts w:cs="Times New Roman"/>
          <w:sz w:val="22"/>
          <w:lang w:val="id-ID"/>
        </w:rPr>
        <w:instrText xml:space="preserve">ADDIN CSL_CITATION {"citationItems":[{"id":"ITEM-1","itemData":{"ISBN":"9791709580","author":[{"dropping-particle":"","family":"Soebroto","given":"Ikhsan","non-dropping-particle":"","parse-names":false,"suffix":""}],"id":"ITEM-1","issued":{"date-parts":[["2020"]]},"publisher":"Desa Pustaka Indonesia","publisher-place":"Temanggung","title":"Cara Mudah Mengatasi Problem Anemia","type":"book"},"uris":["http://www.mendeley.com/documents/?uuid=767f716d-5f29-4bbd-b213-1074b710f26b"]}],"mendeley":{"formattedCitation":"(Soebroto, 2020)","plainTextFormattedCitation":"(Soebroto, 2020)","previouslyFormattedCitation":"(Soebroto, 2020)"},"properties":{"noteIndex":0},"schema":"https://github.com/citation-style-language/schema/raw/master/csl-citation.json"}</w:instrText>
      </w:r>
      <w:r>
        <w:rPr>
          <w:rFonts w:cs="Times New Roman"/>
          <w:sz w:val="22"/>
          <w:lang w:val="id-ID"/>
        </w:rPr>
        <w:fldChar w:fldCharType="separate"/>
      </w:r>
      <w:r>
        <w:rPr>
          <w:rFonts w:cs="Times New Roman"/>
          <w:sz w:val="22"/>
          <w:lang w:val="id-ID"/>
        </w:rPr>
        <w:t>(Soebroto, 2020)</w:t>
      </w:r>
      <w:r>
        <w:rPr>
          <w:rFonts w:cs="Times New Roman"/>
          <w:sz w:val="22"/>
          <w:lang w:val="id-ID"/>
        </w:rPr>
        <w:fldChar w:fldCharType="end"/>
      </w:r>
      <w:r>
        <w:rPr>
          <w:rFonts w:cs="Times New Roman"/>
          <w:sz w:val="22"/>
          <w:lang w:val="id-ID"/>
        </w:rPr>
        <w:t>. Wanita yang menstruasi setiap bulan membutuhkan zat besi tiga kali lebih banyak dibandingkan pria. Apabila wanita mengalami menstruasi, dia akan kehilangan sekitar 40-50 ml darah per bulan. Bila lama menstruasi meningkat sampai 15% maka dia akan kehilangan darah hingga mencapai 80-100 ml. Kejadian yang dialami wanita ini akan menyebabkan defisiensi besi yang apabila tidak segera diatasi akan mengakibatkan anemia</w:t>
      </w:r>
      <w:r>
        <w:rPr>
          <w:rFonts w:cs="Times New Roman"/>
          <w:sz w:val="22"/>
          <w:lang w:val="id-ID"/>
        </w:rPr>
        <w:fldChar w:fldCharType="begin"/>
      </w:r>
      <w:r>
        <w:rPr>
          <w:rFonts w:cs="Times New Roman"/>
          <w:sz w:val="22"/>
          <w:lang w:val="id-ID"/>
        </w:rPr>
        <w:instrText xml:space="preserve">ADDIN CSL_CITATION {"citationItems":[{"id":"ITEM-1","itemData":{"ISBN":"9786239141998","abstract":"Buku ini disusun mengingat permasalahan gizi pada remaja puteri khususnya anemia saat ini masih belum teratasi dan belum begitu banyak best practice upaya untuk mencegah ataupun menangulangi anemia dengan menggunakan pendekatan edukatif.","author":[{"dropping-particle":"","family":"Rahayu","given":"Atikah","non-dropping-particle":"","parse-names":false,"suffix":""},{"dropping-particle":"","family":"Yulidasari","given":"Fahrini","non-dropping-particle":"","parse-names":false,"suffix":""},{"dropping-particle":"","family":"Putri","given":"Andini Octaviana","non-dropping-particle":"","parse-names":false,"suffix":""},{"dropping-particle":"","family":"Anggraini","given":"Lia","non-dropping-particle":"","parse-names":false,"suffix":""}],"container-title":"CV Mine","editor":[{"dropping-particle":"","family":"Noor","given":"Meitria Syahadatina","non-dropping-particle":"","parse-names":false,"suffix":""},{"dropping-particle":"","family":"Rahman","given":"Fauzie","non-dropping-particle":"","parse-names":false,"suffix":""},{"dropping-particle":"","family":"Rosadi","given":"Dian","non-dropping-particle":"","parse-names":false,"suffix":""},{"dropping-particle":"","family":"Sari","given":"Ayu Riana","non-dropping-particle":"","parse-names":false,"suffix":""},{"dropping-particle":"","family":"Laily","given":"Nur","non-dropping-particle":"","parse-names":false,"suffix":""},{"dropping-particle":"","family":"Anhar","given":"Vina Yulia","non-dropping-particle":"","parse-names":false,"suffix":""}],"id":"ITEM-1","issued":{"date-parts":[["2019"]]},"number-of-pages":"1-102","publisher":"CV Mine","publisher-place":"Yogyakarta","title":"Metode Orkes-Ku (Raport Kesehatanku) dalam Mengidentifikasi Potensi Kejadian Anemia Gizi pada Remaja Putri","type":"book"},"uris":["http://www.mendeley.com/documents/?uuid=8c8e917e-1d35-452c-a592-75ece2bf2f9c"]}],"mendeley":{"formattedCitation":"(Rahayu et al., 2019)","plainTextFormattedCitation":"(Rahayu et al., 2019)","previouslyFormattedCitation":"(Rahayu et al., 2019)"},"properties":{"noteIndex":0},"schema":"https://github.com/citation-style-language/schema/raw/master/csl-citation.json"}</w:instrText>
      </w:r>
      <w:r>
        <w:rPr>
          <w:rFonts w:cs="Times New Roman"/>
          <w:sz w:val="22"/>
          <w:lang w:val="id-ID"/>
        </w:rPr>
        <w:fldChar w:fldCharType="separate"/>
      </w:r>
      <w:r>
        <w:rPr>
          <w:rFonts w:cs="Times New Roman"/>
          <w:sz w:val="22"/>
          <w:lang w:val="id-ID"/>
        </w:rPr>
        <w:t>(Rahayu et al., 2019)</w:t>
      </w:r>
      <w:r>
        <w:rPr>
          <w:rFonts w:cs="Times New Roman"/>
          <w:sz w:val="22"/>
          <w:lang w:val="id-ID"/>
        </w:rPr>
        <w:fldChar w:fldCharType="end"/>
      </w:r>
      <w:r>
        <w:rPr>
          <w:rFonts w:cs="Times New Roman"/>
          <w:sz w:val="22"/>
          <w:lang w:val="id-ID"/>
        </w:rPr>
        <w:t xml:space="preserve">. </w:t>
      </w:r>
    </w:p>
    <w:p>
      <w:pPr>
        <w:pStyle w:val="2"/>
        <w:spacing w:line="360" w:lineRule="auto"/>
        <w:ind w:firstLine="426"/>
        <w:rPr>
          <w:rFonts w:cs="Times New Roman"/>
          <w:sz w:val="22"/>
          <w:lang w:val="id-ID"/>
        </w:rPr>
      </w:pPr>
      <w:r>
        <w:rPr>
          <w:rFonts w:cs="Times New Roman"/>
          <w:sz w:val="22"/>
          <w:lang w:val="id-ID"/>
        </w:rPr>
        <w:t>Berbagai kemungkinan komplikasi umum akibat anemia adalah gagal jantung, kejang, perkembangan otot buruk (jangka panjang), daya konsentrasi menurun dan kemampuan mengolah informasi yang didengar menurun</w:t>
      </w:r>
      <w:r>
        <w:rPr>
          <w:rFonts w:cs="Times New Roman"/>
          <w:sz w:val="22"/>
          <w:lang w:val="id-ID"/>
        </w:rPr>
        <w:fldChar w:fldCharType="begin"/>
      </w:r>
      <w:r>
        <w:rPr>
          <w:rFonts w:cs="Times New Roman"/>
          <w:sz w:val="22"/>
          <w:lang w:val="id-ID"/>
        </w:rPr>
        <w:instrText xml:space="preserve">ADDIN CSL_CITATION {"citationItems":[{"id":"ITEM-1","itemData":{"ISBN":"9786236998267","author":[{"dropping-particle":"","family":"Azwar","given":"","non-dropping-particle":"","parse-names":false,"suffix":""}],"id":"ITEM-1","issued":{"date-parts":[["2019"]]},"publisher":"Pustaka Taman Ilmu","publisher-place":"Yogyakarta","title":"Terapi Non Farmakologis untuk Pasien Anemia","type":"book"},"uris":["http://www.mendeley.com/documents/?uuid=d0ed3714-4dd8-455f-9824-1ef8e6795ce1"]}],"mendeley":{"formattedCitation":"(Azwar, 2019)","plainTextFormattedCitation":"(Azwar, 2019)","previouslyFormattedCitation":"(Azwar, 2019)"},"properties":{"noteIndex":0},"schema":"https://github.com/citation-style-language/schema/raw/master/csl-citation.json"}</w:instrText>
      </w:r>
      <w:r>
        <w:rPr>
          <w:rFonts w:cs="Times New Roman"/>
          <w:sz w:val="22"/>
          <w:lang w:val="id-ID"/>
        </w:rPr>
        <w:fldChar w:fldCharType="separate"/>
      </w:r>
      <w:r>
        <w:rPr>
          <w:rFonts w:cs="Times New Roman"/>
          <w:sz w:val="22"/>
          <w:lang w:val="id-ID"/>
        </w:rPr>
        <w:t>(Azwar, 2019)</w:t>
      </w:r>
      <w:r>
        <w:rPr>
          <w:rFonts w:cs="Times New Roman"/>
          <w:sz w:val="22"/>
          <w:lang w:val="id-ID"/>
        </w:rPr>
        <w:fldChar w:fldCharType="end"/>
      </w:r>
      <w:r>
        <w:rPr>
          <w:rFonts w:cs="Times New Roman"/>
          <w:sz w:val="22"/>
          <w:lang w:val="id-ID"/>
        </w:rPr>
        <w:t xml:space="preserve">. </w:t>
      </w:r>
    </w:p>
    <w:p>
      <w:pPr>
        <w:pStyle w:val="5"/>
        <w:spacing w:after="0" w:line="360" w:lineRule="auto"/>
        <w:jc w:val="both"/>
        <w:rPr>
          <w:rFonts w:cs="Times New Roman"/>
          <w:sz w:val="22"/>
          <w:lang w:val="id-ID"/>
        </w:rPr>
      </w:pPr>
      <w:bookmarkStart w:id="2" w:name="_Toc129069672"/>
      <w:r>
        <w:rPr>
          <w:rFonts w:cs="Times New Roman"/>
          <w:sz w:val="22"/>
          <w:lang w:val="id-ID"/>
        </w:rPr>
        <w:t>Identifikasi Masalah Keperawatan</w:t>
      </w:r>
      <w:bookmarkEnd w:id="2"/>
    </w:p>
    <w:p>
      <w:pPr>
        <w:pStyle w:val="2"/>
        <w:spacing w:line="360" w:lineRule="auto"/>
        <w:ind w:firstLine="426"/>
        <w:rPr>
          <w:rFonts w:cs="Times New Roman"/>
          <w:sz w:val="22"/>
          <w:lang w:val="id-ID"/>
        </w:rPr>
      </w:pPr>
      <w:r>
        <w:rPr>
          <w:rFonts w:cs="Times New Roman"/>
          <w:sz w:val="22"/>
          <w:lang w:val="id-ID"/>
        </w:rPr>
        <w:t>Secara umum data yang ditemukan pada kedua responden sesuai dengan identifikasi masalah perfusi perifer tidak efektif berdasarkan PPNI, 2017. Tanda dan gejala yang diperlukan untuk menegakkan diagnosa keperawatan perfusi perifer tidak efektif meliputi akral teraba dingin, nadi perifer menurun atau tidak teraba, pengisian kapiler &gt; 3 detik, turgor kulit menurun dan warna kulit pucat</w:t>
      </w:r>
      <w:r>
        <w:rPr>
          <w:rFonts w:cs="Times New Roman"/>
          <w:sz w:val="22"/>
          <w:lang w:val="id-ID"/>
        </w:rPr>
        <w:fldChar w:fldCharType="begin"/>
      </w:r>
      <w:r>
        <w:rPr>
          <w:rFonts w:cs="Times New Roman"/>
          <w:sz w:val="22"/>
          <w:lang w:val="id-ID"/>
        </w:rPr>
        <w:instrText xml:space="preserve">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Pr>
          <w:rFonts w:cs="Times New Roman"/>
          <w:sz w:val="22"/>
          <w:lang w:val="id-ID"/>
        </w:rPr>
        <w:fldChar w:fldCharType="separate"/>
      </w:r>
      <w:r>
        <w:rPr>
          <w:rFonts w:cs="Times New Roman"/>
          <w:sz w:val="22"/>
          <w:lang w:val="id-ID"/>
        </w:rPr>
        <w:t>(PPNI, 2017)</w:t>
      </w:r>
      <w:r>
        <w:rPr>
          <w:rFonts w:cs="Times New Roman"/>
          <w:sz w:val="22"/>
          <w:lang w:val="id-ID"/>
        </w:rPr>
        <w:fldChar w:fldCharType="end"/>
      </w:r>
      <w:r>
        <w:rPr>
          <w:rFonts w:cs="Times New Roman"/>
          <w:sz w:val="22"/>
          <w:lang w:val="id-ID"/>
        </w:rPr>
        <w:t>. Hal ini dialami oleh Nn. A dan Nn. W setelah dilakukan pemeriksaan fisik oleh peneliti, pada pemeriksaan fisik yang peneliti lakukan kepada responden, didapatkan hasil keduanya menunjukkan semua tanda dan gejala mayor perfusi perifer tidak efektif.</w:t>
      </w:r>
    </w:p>
    <w:p>
      <w:pPr>
        <w:pStyle w:val="2"/>
        <w:spacing w:line="360" w:lineRule="auto"/>
        <w:ind w:firstLine="426"/>
        <w:rPr>
          <w:rFonts w:cs="Times New Roman"/>
          <w:sz w:val="22"/>
          <w:lang w:val="id-ID"/>
        </w:rPr>
      </w:pPr>
      <w:r>
        <w:rPr>
          <w:rFonts w:cs="Times New Roman"/>
          <w:sz w:val="22"/>
          <w:lang w:val="id-ID"/>
        </w:rPr>
        <w:t>Tanda dan gejala yang muncul pada kedua responden memenuhi 80% dari tanda dan gejala mayor yang dibutuhkan untuk menegakkan masalah keperawatan perfusi perifer tidak efektif. Sehingga, peneliti memutuskan untuk menegakkan diagnosa keperawatan utama pada Nn. A dan Nn. W yaitu perfusi perifer tidak efektif berhubungan dengan penurunan konsentrasi Hb dibuktikan dengan akral teraba dingin, nadi perifer menurun atau tidak teraba, pengisian kapiler &gt;3 detik, turgor kulit menurun dan warna kulit pucat</w:t>
      </w:r>
      <w:r>
        <w:rPr>
          <w:rFonts w:cs="Times New Roman"/>
          <w:sz w:val="22"/>
          <w:lang w:val="id-ID"/>
        </w:rPr>
        <w:fldChar w:fldCharType="begin"/>
      </w:r>
      <w:r>
        <w:rPr>
          <w:rFonts w:cs="Times New Roman"/>
          <w:sz w:val="22"/>
          <w:lang w:val="id-ID"/>
        </w:rPr>
        <w:instrText xml:space="preserve">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Pr>
          <w:rFonts w:cs="Times New Roman"/>
          <w:sz w:val="22"/>
          <w:lang w:val="id-ID"/>
        </w:rPr>
        <w:fldChar w:fldCharType="separate"/>
      </w:r>
      <w:r>
        <w:rPr>
          <w:rFonts w:cs="Times New Roman"/>
          <w:sz w:val="22"/>
          <w:lang w:val="id-ID"/>
        </w:rPr>
        <w:t>(PPNI, 2017)</w:t>
      </w:r>
      <w:r>
        <w:rPr>
          <w:rFonts w:cs="Times New Roman"/>
          <w:sz w:val="22"/>
          <w:lang w:val="id-ID"/>
        </w:rPr>
        <w:fldChar w:fldCharType="end"/>
      </w:r>
      <w:r>
        <w:rPr>
          <w:rFonts w:cs="Times New Roman"/>
          <w:sz w:val="22"/>
          <w:lang w:val="id-ID"/>
        </w:rPr>
        <w:t xml:space="preserve">. </w:t>
      </w:r>
    </w:p>
    <w:p>
      <w:pPr>
        <w:pStyle w:val="5"/>
        <w:spacing w:after="0" w:line="360" w:lineRule="auto"/>
        <w:jc w:val="both"/>
        <w:rPr>
          <w:rFonts w:cs="Times New Roman"/>
          <w:sz w:val="22"/>
          <w:lang w:val="id-ID"/>
        </w:rPr>
      </w:pPr>
      <w:bookmarkStart w:id="3" w:name="_Toc129069673"/>
      <w:r>
        <w:rPr>
          <w:rFonts w:cs="Times New Roman"/>
          <w:sz w:val="22"/>
          <w:lang w:val="id-ID"/>
        </w:rPr>
        <w:t>Pelaksanaan Tindakan</w:t>
      </w:r>
      <w:bookmarkEnd w:id="3"/>
    </w:p>
    <w:p>
      <w:pPr>
        <w:pStyle w:val="2"/>
        <w:spacing w:line="360" w:lineRule="auto"/>
        <w:ind w:firstLine="426"/>
        <w:rPr>
          <w:rFonts w:cs="Times New Roman"/>
          <w:sz w:val="22"/>
          <w:lang w:val="id-ID"/>
        </w:rPr>
      </w:pPr>
      <w:r>
        <w:rPr>
          <w:rFonts w:cs="Times New Roman"/>
          <w:sz w:val="22"/>
          <w:lang w:val="id-ID"/>
        </w:rPr>
        <w:t>Pemberian buah bit (</w:t>
      </w:r>
      <w:r>
        <w:rPr>
          <w:rFonts w:cs="Times New Roman"/>
          <w:i/>
          <w:sz w:val="22"/>
          <w:lang w:val="id-ID"/>
        </w:rPr>
        <w:t>Beta vulgaris l.)</w:t>
      </w:r>
      <w:r>
        <w:rPr>
          <w:rFonts w:cs="Times New Roman"/>
          <w:sz w:val="22"/>
          <w:lang w:val="id-ID"/>
        </w:rPr>
        <w:t xml:space="preserve"> adalah salah satu tindakan nonfarmakologis untuk mengatasi perfusi perifer tidak efektif pada anemia</w:t>
      </w:r>
      <w:r>
        <w:rPr>
          <w:rFonts w:cs="Times New Roman"/>
          <w:sz w:val="22"/>
          <w:lang w:val="id-ID"/>
        </w:rPr>
        <w:fldChar w:fldCharType="begin"/>
      </w:r>
      <w:r>
        <w:rPr>
          <w:rFonts w:cs="Times New Roman"/>
          <w:sz w:val="22"/>
          <w:lang w:val="id-ID"/>
        </w:rPr>
        <w:instrText xml:space="preserve">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Pr>
          <w:rFonts w:cs="Times New Roman"/>
          <w:sz w:val="22"/>
          <w:lang w:val="id-ID"/>
        </w:rPr>
        <w:fldChar w:fldCharType="separate"/>
      </w:r>
      <w:r>
        <w:rPr>
          <w:rFonts w:cs="Times New Roman"/>
          <w:sz w:val="22"/>
          <w:lang w:val="id-ID"/>
        </w:rPr>
        <w:t>(Ikawati &amp; Rokhana, 2018)</w:t>
      </w:r>
      <w:r>
        <w:rPr>
          <w:rFonts w:cs="Times New Roman"/>
          <w:sz w:val="22"/>
          <w:lang w:val="id-ID"/>
        </w:rPr>
        <w:fldChar w:fldCharType="end"/>
      </w:r>
      <w:r>
        <w:rPr>
          <w:rFonts w:cs="Times New Roman"/>
          <w:sz w:val="22"/>
          <w:lang w:val="id-ID"/>
        </w:rPr>
        <w:t>. Manfaat buah bit untuk meningkatkan Hb pada anemia karena khasiatnya yaitu antianemia. Buah ini merupakan sumber vitamin B9 (asam folat) yang memiliki peran penting dalam proses pembentukan sel darah merah. Kandungan asam folat dalam buah bit (</w:t>
      </w:r>
      <w:r>
        <w:rPr>
          <w:rFonts w:cs="Times New Roman"/>
          <w:i/>
          <w:sz w:val="22"/>
          <w:lang w:val="id-ID"/>
        </w:rPr>
        <w:t>Beta vulgaris l.)</w:t>
      </w:r>
      <w:r>
        <w:rPr>
          <w:rFonts w:cs="Times New Roman"/>
          <w:sz w:val="22"/>
          <w:lang w:val="id-ID"/>
        </w:rPr>
        <w:t xml:space="preserve"> adalah komponen penting yang dibutuhkan dalam perkembangan normal eritrosit. Untuk itu, buah bit (</w:t>
      </w:r>
      <w:r>
        <w:rPr>
          <w:rFonts w:cs="Times New Roman"/>
          <w:i/>
          <w:sz w:val="22"/>
          <w:lang w:val="id-ID"/>
        </w:rPr>
        <w:t>Beta vulgaris l.)</w:t>
      </w:r>
      <w:r>
        <w:rPr>
          <w:rFonts w:cs="Times New Roman"/>
          <w:sz w:val="22"/>
          <w:lang w:val="id-ID"/>
        </w:rPr>
        <w:t xml:space="preserve"> dapat dijadikan alternatif pengobatan dan pencegahan anemia</w:t>
      </w:r>
      <w:r>
        <w:rPr>
          <w:rFonts w:cs="Times New Roman"/>
          <w:sz w:val="22"/>
          <w:lang w:val="id-ID"/>
        </w:rPr>
        <w:fldChar w:fldCharType="begin"/>
      </w:r>
      <w:r>
        <w:rPr>
          <w:rFonts w:cs="Times New Roman"/>
          <w:sz w:val="22"/>
          <w:lang w:val="id-ID"/>
        </w:rPr>
        <w:instrText xml:space="preserve">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Pr>
          <w:rFonts w:cs="Times New Roman"/>
          <w:sz w:val="22"/>
          <w:lang w:val="id-ID"/>
        </w:rPr>
        <w:fldChar w:fldCharType="separate"/>
      </w:r>
      <w:r>
        <w:rPr>
          <w:rFonts w:cs="Times New Roman"/>
          <w:sz w:val="22"/>
          <w:lang w:val="id-ID"/>
        </w:rPr>
        <w:t>(Amila et al., 2021)</w:t>
      </w:r>
      <w:r>
        <w:rPr>
          <w:rFonts w:cs="Times New Roman"/>
          <w:sz w:val="22"/>
          <w:lang w:val="id-ID"/>
        </w:rPr>
        <w:fldChar w:fldCharType="end"/>
      </w:r>
      <w:r>
        <w:rPr>
          <w:rFonts w:cs="Times New Roman"/>
          <w:sz w:val="22"/>
          <w:lang w:val="id-ID"/>
        </w:rPr>
        <w:t xml:space="preserve">. </w:t>
      </w:r>
    </w:p>
    <w:p>
      <w:pPr>
        <w:pStyle w:val="2"/>
        <w:spacing w:line="360" w:lineRule="auto"/>
        <w:ind w:firstLine="426"/>
        <w:rPr>
          <w:rFonts w:cs="Times New Roman"/>
          <w:sz w:val="22"/>
          <w:lang w:val="id-ID"/>
        </w:rPr>
      </w:pPr>
      <w:r>
        <w:rPr>
          <w:rFonts w:cs="Times New Roman"/>
          <w:sz w:val="22"/>
          <w:lang w:val="id-ID"/>
        </w:rPr>
        <w:t>Buah bit dapat mengobati anemia karena buah bit mengandung B9 (asam folat), dimana asam folat dan B12 pada buah bit dapat merangsang peredaran darah dan pembentukan SDM. Beetroot juga berperan penting dalam metabolisme sel, dapat membersihkan dan meningkatkan darah sehingga dapat membawa nutrisi ke seluruh tubuh, yang tidak mengurangi jumlah SDM</w:t>
      </w:r>
      <w:r>
        <w:rPr>
          <w:rFonts w:cs="Times New Roman"/>
          <w:sz w:val="22"/>
          <w:lang w:val="id-ID"/>
        </w:rPr>
        <w:fldChar w:fldCharType="begin"/>
      </w:r>
      <w:r>
        <w:rPr>
          <w:rFonts w:cs="Times New Roman"/>
          <w:sz w:val="22"/>
          <w:lang w:val="id-ID"/>
        </w:rPr>
        <w:instrText xml:space="preserve">ADDIN CSL_CITATION {"citationItems":[{"id":"ITEM-1","itemData":{"author":[{"dropping-particle":"","family":"Agita Pasaribu","given":"Aggridita","non-dropping-particle":"","parse-names":false,"suffix":""}],"container-title":"Kompasiana","id":"ITEM-1","issued":{"date-parts":[["2022","4"]]},"title":"Buah Bit dapat Mencegah Anemia, Mitos or Fakta?","type":"article-magazine"},"uris":["http://www.mendeley.com/documents/?uuid=5c7d8278-ce94-417e-9fd3-8bb559bb49c5"]}],"mendeley":{"formattedCitation":"(Agita Pasaribu, 2022)","plainTextFormattedCitation":"(Agita Pasaribu, 2022)","previouslyFormattedCitation":"(Agita Pasaribu, 2022)"},"properties":{"noteIndex":0},"schema":"https://github.com/citation-style-language/schema/raw/master/csl-citation.json"}</w:instrText>
      </w:r>
      <w:r>
        <w:rPr>
          <w:rFonts w:cs="Times New Roman"/>
          <w:sz w:val="22"/>
          <w:lang w:val="id-ID"/>
        </w:rPr>
        <w:fldChar w:fldCharType="separate"/>
      </w:r>
      <w:r>
        <w:rPr>
          <w:rFonts w:cs="Times New Roman"/>
          <w:sz w:val="22"/>
          <w:lang w:val="id-ID"/>
        </w:rPr>
        <w:t>(Agita Pasaribu, 2022)</w:t>
      </w:r>
      <w:r>
        <w:rPr>
          <w:rFonts w:cs="Times New Roman"/>
          <w:sz w:val="22"/>
          <w:lang w:val="id-ID"/>
        </w:rPr>
        <w:fldChar w:fldCharType="end"/>
      </w:r>
      <w:r>
        <w:rPr>
          <w:rFonts w:cs="Times New Roman"/>
          <w:sz w:val="22"/>
          <w:lang w:val="id-ID"/>
        </w:rPr>
        <w:t>. Jumlah kandungan asam folat pada 100 gr beetroot adalah 34% dari angka kebutuhan gizi (AKG), dosis asam folat yang dikonsumsi oleh perhari pada usia 13-49 tahun adalah 400mcg. Artinya, pemberian jus buah bit (</w:t>
      </w:r>
      <w:r>
        <w:rPr>
          <w:rFonts w:cs="Times New Roman"/>
          <w:i/>
          <w:sz w:val="22"/>
          <w:lang w:val="id-ID"/>
        </w:rPr>
        <w:t>Beta vulgaris l.)</w:t>
      </w:r>
      <w:r>
        <w:rPr>
          <w:rFonts w:cs="Times New Roman"/>
          <w:sz w:val="22"/>
          <w:lang w:val="id-ID"/>
        </w:rPr>
        <w:t xml:space="preserve"> 250ml yang diambil dari 200 gr buah bit mentah dapat mencukupi 68% kebutuhan asam folat</w:t>
      </w:r>
      <w:r>
        <w:rPr>
          <w:rFonts w:cs="Times New Roman"/>
          <w:sz w:val="22"/>
          <w:lang w:val="id-ID"/>
        </w:rPr>
        <w:fldChar w:fldCharType="begin"/>
      </w:r>
      <w:r>
        <w:rPr>
          <w:rFonts w:cs="Times New Roman"/>
          <w:sz w:val="22"/>
          <w:lang w:val="id-ID"/>
        </w:rPr>
        <w:instrText xml:space="preserve">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Pr>
          <w:rFonts w:cs="Times New Roman"/>
          <w:sz w:val="22"/>
          <w:lang w:val="id-ID"/>
        </w:rPr>
        <w:fldChar w:fldCharType="separate"/>
      </w:r>
      <w:r>
        <w:rPr>
          <w:rFonts w:cs="Times New Roman"/>
          <w:sz w:val="22"/>
          <w:lang w:val="id-ID"/>
        </w:rPr>
        <w:t>(Amila et al., 2021)</w:t>
      </w:r>
      <w:r>
        <w:rPr>
          <w:rFonts w:cs="Times New Roman"/>
          <w:sz w:val="22"/>
          <w:lang w:val="id-ID"/>
        </w:rPr>
        <w:fldChar w:fldCharType="end"/>
      </w:r>
      <w:r>
        <w:rPr>
          <w:rFonts w:cs="Times New Roman"/>
          <w:sz w:val="22"/>
          <w:lang w:val="id-ID"/>
        </w:rPr>
        <w:t xml:space="preserve">. </w:t>
      </w:r>
    </w:p>
    <w:p>
      <w:pPr>
        <w:pStyle w:val="2"/>
        <w:spacing w:line="360" w:lineRule="auto"/>
        <w:ind w:firstLine="426"/>
        <w:rPr>
          <w:rFonts w:cs="Times New Roman"/>
          <w:sz w:val="22"/>
          <w:lang w:val="id-ID"/>
        </w:rPr>
      </w:pPr>
      <w:r>
        <w:rPr>
          <w:rFonts w:cs="Times New Roman"/>
          <w:sz w:val="22"/>
          <w:lang w:val="id-ID"/>
        </w:rPr>
        <w:t>Intervensi tindakan pemberian jus buah bit dilakukan selama 7 hari dengan memberikan 250 ml jus buah bit (</w:t>
      </w:r>
      <w:r>
        <w:rPr>
          <w:rFonts w:cs="Times New Roman"/>
          <w:i/>
          <w:sz w:val="22"/>
          <w:lang w:val="id-ID"/>
        </w:rPr>
        <w:t>Beta vulgaris L.)</w:t>
      </w:r>
      <w:r>
        <w:rPr>
          <w:rFonts w:cs="Times New Roman"/>
          <w:sz w:val="22"/>
          <w:lang w:val="id-ID"/>
        </w:rPr>
        <w:t xml:space="preserve"> perhari pada sore hari, kemudian hasil hemoglobin dievaluasi pada hari terakhir. Penelitian dilakukan selama 7 hari intervensi dengan alasan mengacu pada penelitian sebelumnya yang dilakukan oleh </w:t>
      </w:r>
      <w:r>
        <w:rPr>
          <w:rFonts w:cs="Times New Roman"/>
          <w:sz w:val="22"/>
          <w:lang w:val="id-ID"/>
        </w:rPr>
        <w:fldChar w:fldCharType="begin"/>
      </w:r>
      <w:r>
        <w:rPr>
          <w:rFonts w:cs="Times New Roman"/>
          <w:sz w:val="22"/>
          <w:lang w:val="id-ID"/>
        </w:rPr>
        <w:instrText xml:space="preserve">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2021)","manualFormatting":"(Zuhraini dkk., (2021)","plainTextFormattedCitation":"(Zuhraini et al., 2021)","previouslyFormattedCitation":"(Zuhraini et al., 2021)"},"properties":{"noteIndex":0},"schema":"https://github.com/citation-style-language/schema/raw/master/csl-citation.json"}</w:instrText>
      </w:r>
      <w:r>
        <w:rPr>
          <w:rFonts w:cs="Times New Roman"/>
          <w:sz w:val="22"/>
          <w:lang w:val="id-ID"/>
        </w:rPr>
        <w:fldChar w:fldCharType="separate"/>
      </w:r>
      <w:r>
        <w:rPr>
          <w:rFonts w:cs="Times New Roman"/>
          <w:sz w:val="22"/>
          <w:lang w:val="id-ID"/>
        </w:rPr>
        <w:t>(Zuhraini dkk., (2021)</w:t>
      </w:r>
      <w:r>
        <w:rPr>
          <w:rFonts w:cs="Times New Roman"/>
          <w:sz w:val="22"/>
          <w:lang w:val="id-ID"/>
        </w:rPr>
        <w:fldChar w:fldCharType="end"/>
      </w:r>
      <w:r>
        <w:rPr>
          <w:rFonts w:cs="Times New Roman"/>
          <w:sz w:val="22"/>
          <w:lang w:val="id-ID"/>
        </w:rPr>
        <w:t xml:space="preserve"> yang mendapat hasil uji t (p value 0,0001 &lt;a 0,05) dan juga proses pembentukan Hb bergantung pada proses pembentukan sel darah merah (SDM) yang ada di sumsum tulang belakang. Dalam proses pembentukan SDM, asam folat sangat dibutuhkan oleh tubuh. Zat besi dan asam folat adalah elemen penting bagi tubuh. Zat ini dibutuhkan terutama untuk hemopoiesis (produksi darah), yaitu sintesis hemoglobin (Hb). Hemoglobin (Hb) adalah oksigen yang memasok sel darah merah dengan fungsi tubuh yang penting. Hemoglobin terdiri dari Fe (zat besi), protoporphyrin dan globin (1/3 massa Hb terdiri dari Fe)</w:t>
      </w:r>
      <w:r>
        <w:rPr>
          <w:rFonts w:cs="Times New Roman"/>
          <w:sz w:val="22"/>
          <w:lang w:val="id-ID"/>
        </w:rPr>
        <w:fldChar w:fldCharType="begin"/>
      </w:r>
      <w:r>
        <w:rPr>
          <w:rFonts w:cs="Times New Roman"/>
          <w:sz w:val="22"/>
          <w:lang w:val="id-ID"/>
        </w:rPr>
        <w:instrText xml:space="preserve">ADDIN CSL_CITATION {"citationItems":[{"id":"ITEM-1","itemData":{"abstract":"Salah satu masalah gizi yang banyak terjadi pada ibu hamil adalah anemia gizi, yang merupakan masalah gizi mikro terbesar dan tersulit diatasi di seluruh dunia.2 World Health Organization (WHO) melaporkan bahwa terdapat 52% ibu hamil mengalami anemia di negara berkembang. Di Indonesia (Susenas dan Survei Depkes-Unicef) dilaporkan bahwa dari sekitar 4 juta ibu hamil, separuhnya mengalami anemia gizi dan satu juta lainnya mengalami kekurangan energi kronis. Anemia sering terjadi akibat defisiensi zat besi karena pada ibu hamil terjadi peningkatan kebutuhan zat besi dua kali lipat akibat peningkatan volume darah tanpa ekspansi volume plasma, untuk memenuhi kebutuhan ibu (mencegah kehilangan darah pada saat melahirkan) dan pertumbuhan janin. Hal ini telah dibuktikan di Thailand bahwa penyebab utama anemia pada ibu hamil adalah karena defisiensi besi (43,1%. Demikian pula dengan studi di Tanzania memperlihatkan bahwa anemia ibu hamil berhubungan dengan defisiensi zat besi (p = 0,03), vitamin A (p =0,004) dan status gizi (LILA) (p = 0,003).7 Terdapat korelasi yang erat antara anemia pada saat kehamilan dengan kematian janin, abortus, cacat bawaan, berat bayi lahir rendah, cadangan zat besi yang berkurang pada anak atau anak lahir dalam keadaan anemia gizi.","author":[{"dropping-particle":"","family":"Susiloningtyas","given":"Is","non-dropping-particle":"","parse-names":false,"suffix":""}],"container-title":"Majalah Ilmiah Sultan Agung","id":"ITEM-1","issued":{"date-parts":[["2014"]]},"page":"128","title":"Pemberian Zat Besi (Fe) dalam Kehamilan","type":"article-journal","volume":"50"},"uris":["http://www.mendeley.com/documents/?uuid=195da69a-6c6a-4581-b4df-11dc2a6b6c10"]}],"mendeley":{"formattedCitation":"(Susiloningtyas, 2014)","plainTextFormattedCitation":"(Susiloningtyas, 2014)","previouslyFormattedCitation":"(Susiloningtyas, 2014)"},"properties":{"noteIndex":0},"schema":"https://github.com/citation-style-language/schema/raw/master/csl-citation.json"}</w:instrText>
      </w:r>
      <w:r>
        <w:rPr>
          <w:rFonts w:cs="Times New Roman"/>
          <w:sz w:val="22"/>
          <w:lang w:val="id-ID"/>
        </w:rPr>
        <w:fldChar w:fldCharType="separate"/>
      </w:r>
      <w:r>
        <w:rPr>
          <w:rFonts w:cs="Times New Roman"/>
          <w:sz w:val="22"/>
          <w:lang w:val="id-ID"/>
        </w:rPr>
        <w:t>(Susiloningtyas, 2014)</w:t>
      </w:r>
      <w:r>
        <w:rPr>
          <w:rFonts w:cs="Times New Roman"/>
          <w:sz w:val="22"/>
          <w:lang w:val="id-ID"/>
        </w:rPr>
        <w:fldChar w:fldCharType="end"/>
      </w:r>
      <w:r>
        <w:rPr>
          <w:rFonts w:cs="Times New Roman"/>
          <w:sz w:val="22"/>
          <w:lang w:val="id-ID"/>
        </w:rPr>
        <w:t>. Jika semua unsur yang dibutuhkan untuk pembentukan sel darah merah (erythropoietin, B12, asam folat, Fe) tersedia dalam jumlah yang cukup, maka proses pembentukan sel darah merah dari problas menjadi normoblas polikromatik membutuhkan waktu 2-4 hari. Selain itu, proses pengubahan retikulosit menjadi SDM atau eritrosit membutuhkan waktu 2-3 hari. Pada seluruh proses pembentukan SDM dari pronormoblas membutuhkan waktu 5-9 hari dalam kondisi normal</w:t>
      </w:r>
      <w:r>
        <w:rPr>
          <w:rFonts w:cs="Times New Roman"/>
          <w:sz w:val="22"/>
          <w:lang w:val="id-ID"/>
        </w:rPr>
        <w:fldChar w:fldCharType="begin"/>
      </w:r>
      <w:r>
        <w:rPr>
          <w:rFonts w:cs="Times New Roman"/>
          <w:sz w:val="22"/>
          <w:lang w:val="id-ID"/>
        </w:rPr>
        <w:instrText xml:space="preserve">ADDIN CSL_CITATION {"citationItems":[{"id":"ITEM-1","itemData":{"author":[{"dropping-particle":"","family":"Rahma","given":"Indriana","non-dropping-particle":"","parse-names":false,"suffix":""}],"id":"ITEM-1","issued":{"date-parts":[["2017"]]},"publisher":"Universitas Muhammadiyah Semarang","title":"Hubungan Tingkat Kecukupan Fe, Vitamin B9, dan Vitamin B12 dengan Kadar Hemoglobin Anak Usia 11 Tahun Sekolah Dasar Negeri 02 Pedurungan Kidul Semarang","type":"thesis"},"uris":["http://www.mendeley.com/documents/?uuid=ada81502-0a7e-42b2-b075-ef13bc6e73c8"]}],"mendeley":{"formattedCitation":"(Rahma, 2017)","plainTextFormattedCitation":"(Rahma, 2017)","previouslyFormattedCitation":"(Rahma, 2017)"},"properties":{"noteIndex":0},"schema":"https://github.com/citation-style-language/schema/raw/master/csl-citation.json"}</w:instrText>
      </w:r>
      <w:r>
        <w:rPr>
          <w:rFonts w:cs="Times New Roman"/>
          <w:sz w:val="22"/>
          <w:lang w:val="id-ID"/>
        </w:rPr>
        <w:fldChar w:fldCharType="separate"/>
      </w:r>
      <w:r>
        <w:rPr>
          <w:rFonts w:cs="Times New Roman"/>
          <w:sz w:val="22"/>
          <w:lang w:val="id-ID"/>
        </w:rPr>
        <w:t>(Rahma, 2017)</w:t>
      </w:r>
      <w:r>
        <w:rPr>
          <w:rFonts w:cs="Times New Roman"/>
          <w:sz w:val="22"/>
          <w:lang w:val="id-ID"/>
        </w:rPr>
        <w:fldChar w:fldCharType="end"/>
      </w:r>
      <w:r>
        <w:rPr>
          <w:rFonts w:cs="Times New Roman"/>
          <w:sz w:val="22"/>
          <w:lang w:val="id-ID"/>
        </w:rPr>
        <w:t>.</w:t>
      </w:r>
    </w:p>
    <w:p>
      <w:pPr>
        <w:pStyle w:val="5"/>
        <w:spacing w:after="0" w:line="360" w:lineRule="auto"/>
        <w:jc w:val="both"/>
        <w:rPr>
          <w:rFonts w:cs="Times New Roman"/>
          <w:sz w:val="22"/>
          <w:lang w:val="id-ID"/>
        </w:rPr>
      </w:pPr>
      <w:bookmarkStart w:id="4" w:name="_Toc129069674"/>
      <w:r>
        <w:rPr>
          <w:rFonts w:cs="Times New Roman"/>
          <w:sz w:val="22"/>
          <w:lang w:val="id-ID"/>
        </w:rPr>
        <w:t>Evaluasi</w:t>
      </w:r>
      <w:bookmarkEnd w:id="4"/>
      <w:r>
        <w:rPr>
          <w:rFonts w:cs="Times New Roman"/>
          <w:sz w:val="22"/>
          <w:lang w:val="id-ID"/>
        </w:rPr>
        <w:t xml:space="preserve"> </w:t>
      </w:r>
    </w:p>
    <w:p>
      <w:pPr>
        <w:pStyle w:val="2"/>
        <w:spacing w:line="360" w:lineRule="auto"/>
        <w:ind w:firstLine="426"/>
        <w:rPr>
          <w:rFonts w:cs="Times New Roman"/>
          <w:sz w:val="22"/>
          <w:lang w:val="id-ID"/>
        </w:rPr>
      </w:pPr>
      <w:r>
        <w:rPr>
          <w:rFonts w:cs="Times New Roman"/>
          <w:sz w:val="22"/>
          <w:lang w:val="id-ID"/>
        </w:rPr>
        <w:t>Evaluasi perkembangan masalah perfusi perifer tidak efektif dinilai dengan lembar evaluasi perfusi perifer yang merujuk pada buku Standar Luaran Keperawatan Indonesia (SLKI) tahun 2018. Perfusi perifer adalah keadekuatan aliran darah pembuluh darah distal untuk menunjang fungsi jaringan (PPNI, 2018). Untuk menilai keberhasilan tindakan pemberian jus buah bit (</w:t>
      </w:r>
      <w:r>
        <w:rPr>
          <w:rFonts w:cs="Times New Roman"/>
          <w:i/>
          <w:sz w:val="22"/>
          <w:lang w:val="id-ID"/>
        </w:rPr>
        <w:t>Beta vulgaris l.)</w:t>
      </w:r>
      <w:r>
        <w:rPr>
          <w:rFonts w:cs="Times New Roman"/>
          <w:sz w:val="22"/>
          <w:lang w:val="id-ID"/>
        </w:rPr>
        <w:t xml:space="preserve"> dalam mengatasi perfusi perifer tidak efektif, peneliti menggunakan 3 tingkat luaran yang masing-masing memiliki 5 skala dengan indikator yaitu</w:t>
      </w:r>
      <w:r>
        <w:rPr>
          <w:rFonts w:cs="Times New Roman"/>
          <w:sz w:val="22"/>
          <w:lang w:val="id-ID"/>
        </w:rPr>
        <w:fldChar w:fldCharType="begin"/>
      </w:r>
      <w:r>
        <w:rPr>
          <w:rFonts w:cs="Times New Roman"/>
          <w:sz w:val="22"/>
          <w:lang w:val="id-ID"/>
        </w:rPr>
        <w:instrText xml:space="preserve">ADDIN CSL_CITATION {"citationItems":[{"id":"ITEM-1","itemData":{"ISBN":"9780415475976","abstract":"Differences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unknown.","author":[{"dropping-particle":"","family":"PPNI","given":"","non-dropping-particle":"","parse-names":false,"suffix":""}],"edition":"1","id":"ITEM-1","issued":{"date-parts":[["2018"]]},"publisher":"DPP PPNI","publisher-place":"Jakarta","title":"Standar Intervensi Keperawatan Indonesia: Definisi dan Tindakan Keperawatan","type":"book"},"uris":["http://www.mendeley.com/documents/?uuid=f3878078-14dc-3984-a5ae-0c811705b6bb"]}],"mendeley":{"formattedCitation":"(PPNI, 2018)","plainTextFormattedCitation":"(PPNI, 2018)","previouslyFormattedCitation":"(PPNI, 2018)"},"properties":{"noteIndex":0},"schema":"https://github.com/citation-style-language/schema/raw/master/csl-citation.json"}</w:instrText>
      </w:r>
      <w:r>
        <w:rPr>
          <w:rFonts w:cs="Times New Roman"/>
          <w:sz w:val="22"/>
          <w:lang w:val="id-ID"/>
        </w:rPr>
        <w:fldChar w:fldCharType="separate"/>
      </w:r>
      <w:r>
        <w:rPr>
          <w:rFonts w:cs="Times New Roman"/>
          <w:sz w:val="22"/>
          <w:lang w:val="id-ID"/>
        </w:rPr>
        <w:t>(PPNI, 2018)</w:t>
      </w:r>
      <w:r>
        <w:rPr>
          <w:rFonts w:cs="Times New Roman"/>
          <w:sz w:val="22"/>
          <w:lang w:val="id-ID"/>
        </w:rPr>
        <w:fldChar w:fldCharType="end"/>
      </w:r>
      <w:r>
        <w:rPr>
          <w:rFonts w:cs="Times New Roman"/>
          <w:sz w:val="22"/>
          <w:lang w:val="id-ID"/>
        </w:rPr>
        <w:t>:</w:t>
      </w:r>
    </w:p>
    <w:p>
      <w:pPr>
        <w:pStyle w:val="2"/>
        <w:numPr>
          <w:ilvl w:val="0"/>
          <w:numId w:val="1"/>
        </w:numPr>
        <w:spacing w:line="360" w:lineRule="auto"/>
        <w:rPr>
          <w:rFonts w:cs="Times New Roman"/>
          <w:sz w:val="22"/>
          <w:lang w:val="id-ID"/>
        </w:rPr>
      </w:pPr>
      <w:r>
        <w:rPr>
          <w:rFonts w:cs="Times New Roman"/>
          <w:sz w:val="22"/>
          <w:lang w:val="id-ID"/>
        </w:rPr>
        <w:t>Denyut nadi perifer, dengan skala indikator :</w:t>
      </w:r>
    </w:p>
    <w:p>
      <w:pPr>
        <w:pStyle w:val="2"/>
        <w:spacing w:line="360" w:lineRule="auto"/>
        <w:ind w:left="360"/>
        <w:rPr>
          <w:rFonts w:cs="Times New Roman"/>
          <w:sz w:val="22"/>
          <w:lang w:val="id-ID"/>
        </w:rPr>
      </w:pPr>
      <w:r>
        <w:rPr>
          <w:rFonts w:cs="Times New Roman"/>
          <w:sz w:val="22"/>
          <w:lang w:val="id-ID"/>
        </w:rPr>
        <w:t>1 : Menurun; 2 : Cukup Menurun; 3 : Sedang; 4 : Cukup Meningkat; 5 : Meningkat</w:t>
      </w:r>
    </w:p>
    <w:p>
      <w:pPr>
        <w:pStyle w:val="2"/>
        <w:numPr>
          <w:ilvl w:val="0"/>
          <w:numId w:val="1"/>
        </w:numPr>
        <w:spacing w:line="360" w:lineRule="auto"/>
        <w:rPr>
          <w:rFonts w:cs="Times New Roman"/>
          <w:sz w:val="22"/>
          <w:lang w:val="id-ID"/>
        </w:rPr>
      </w:pPr>
      <w:r>
        <w:rPr>
          <w:rFonts w:cs="Times New Roman"/>
          <w:sz w:val="22"/>
          <w:lang w:val="id-ID"/>
        </w:rPr>
        <w:t>Warna kulit pucat, nyeri ekstremitas, kelemahan otot dan kram otot, dengan skala indikator :</w:t>
      </w:r>
    </w:p>
    <w:p>
      <w:pPr>
        <w:pStyle w:val="2"/>
        <w:spacing w:line="360" w:lineRule="auto"/>
        <w:ind w:left="360"/>
        <w:rPr>
          <w:rFonts w:cs="Times New Roman"/>
          <w:sz w:val="22"/>
          <w:lang w:val="id-ID"/>
        </w:rPr>
      </w:pPr>
      <w:r>
        <w:rPr>
          <w:rFonts w:cs="Times New Roman"/>
          <w:sz w:val="22"/>
          <w:lang w:val="id-ID"/>
        </w:rPr>
        <w:t>1 : Meningkat; 2 : Cukup Meningkat; 3 : Sedang; 4 : Cukup Menurun; 5 : Menurun</w:t>
      </w:r>
    </w:p>
    <w:p>
      <w:pPr>
        <w:pStyle w:val="2"/>
        <w:numPr>
          <w:ilvl w:val="0"/>
          <w:numId w:val="1"/>
        </w:numPr>
        <w:spacing w:line="360" w:lineRule="auto"/>
        <w:rPr>
          <w:rFonts w:cs="Times New Roman"/>
          <w:sz w:val="22"/>
          <w:lang w:val="id-ID"/>
        </w:rPr>
      </w:pPr>
      <w:r>
        <w:rPr>
          <w:rFonts w:cs="Times New Roman"/>
          <w:sz w:val="22"/>
          <w:lang w:val="id-ID"/>
        </w:rPr>
        <w:t>Pengisian kapiler, akral, turgor kulit, tekanan darah sistolik dan tekanan darah diastolik, dengan skala indikator :</w:t>
      </w:r>
    </w:p>
    <w:p>
      <w:pPr>
        <w:pStyle w:val="2"/>
        <w:spacing w:line="360" w:lineRule="auto"/>
        <w:ind w:left="360"/>
        <w:rPr>
          <w:rFonts w:cs="Times New Roman"/>
          <w:sz w:val="22"/>
          <w:lang w:val="id-ID"/>
        </w:rPr>
      </w:pPr>
      <w:r>
        <w:rPr>
          <w:rFonts w:cs="Times New Roman"/>
          <w:sz w:val="22"/>
          <w:lang w:val="id-ID"/>
        </w:rPr>
        <w:t>1 : Memburuk; 2 : Cukup Memburuk; 3 : Sedang; 4 : Cukup Membaik; 5 : Membaik</w:t>
      </w:r>
    </w:p>
    <w:p>
      <w:pPr>
        <w:pStyle w:val="2"/>
        <w:spacing w:line="360" w:lineRule="auto"/>
        <w:ind w:firstLine="426"/>
        <w:rPr>
          <w:rFonts w:cs="Times New Roman"/>
          <w:sz w:val="22"/>
          <w:lang w:val="id-ID"/>
        </w:rPr>
      </w:pPr>
      <w:r>
        <w:rPr>
          <w:rFonts w:cs="Times New Roman"/>
          <w:sz w:val="22"/>
          <w:lang w:val="id-ID"/>
        </w:rPr>
        <w:t>Hasil pencapaian perfusi perifer pada kedua subjek studi kasus mendapat skala 5 pada semua indikator kriteria hasil, yang artinya perfusi perifer meningkat setelah mengonsumsi jus buah bit (</w:t>
      </w:r>
      <w:r>
        <w:rPr>
          <w:rFonts w:cs="Times New Roman"/>
          <w:i/>
          <w:sz w:val="22"/>
          <w:lang w:val="id-ID"/>
        </w:rPr>
        <w:t>Beta vulgaris l.)</w:t>
      </w:r>
      <w:r>
        <w:rPr>
          <w:rFonts w:cs="Times New Roman"/>
          <w:sz w:val="22"/>
          <w:lang w:val="id-ID"/>
        </w:rPr>
        <w:t xml:space="preserve"> selama 7 hari. Sehingga dapat dikatakan pemberian jus buah bit (</w:t>
      </w:r>
      <w:r>
        <w:rPr>
          <w:rFonts w:cs="Times New Roman"/>
          <w:i/>
          <w:sz w:val="22"/>
          <w:lang w:val="id-ID"/>
        </w:rPr>
        <w:t>Beta vulgaris l.)</w:t>
      </w:r>
      <w:r>
        <w:rPr>
          <w:rFonts w:cs="Times New Roman"/>
          <w:sz w:val="22"/>
          <w:lang w:val="id-ID"/>
        </w:rPr>
        <w:t xml:space="preserve"> efektif untuk mengatasi perfusi perifer tidak efektif pada anemia. Peningkatan perfusi perifer dipengaruhi oleh meningkatnya kadar Hb yang menyebabkan perfusi perifer tidak efektif. Buah bit (</w:t>
      </w:r>
      <w:r>
        <w:rPr>
          <w:rFonts w:cs="Times New Roman"/>
          <w:i/>
          <w:sz w:val="22"/>
          <w:lang w:val="id-ID"/>
        </w:rPr>
        <w:t>Beta vulgaris l.)</w:t>
      </w:r>
      <w:r>
        <w:rPr>
          <w:rFonts w:cs="Times New Roman"/>
          <w:sz w:val="22"/>
          <w:lang w:val="id-ID"/>
        </w:rPr>
        <w:t xml:space="preserve"> merupakan sumber vitamin B9 (asam folat) yang memiliki peran penting dalam proses pembentukan sel darah merah. Kandungan asam folat dalam buah bit (</w:t>
      </w:r>
      <w:r>
        <w:rPr>
          <w:rFonts w:cs="Times New Roman"/>
          <w:i/>
          <w:sz w:val="22"/>
          <w:lang w:val="id-ID"/>
        </w:rPr>
        <w:t>Beta vulgaris l.)</w:t>
      </w:r>
      <w:r>
        <w:rPr>
          <w:rFonts w:cs="Times New Roman"/>
          <w:sz w:val="22"/>
          <w:lang w:val="id-ID"/>
        </w:rPr>
        <w:t xml:space="preserve"> adalah komponen penting yang dibutuhkan dalam perkembangan normal eritrosit. </w:t>
      </w:r>
    </w:p>
    <w:p>
      <w:pPr>
        <w:pStyle w:val="2"/>
        <w:spacing w:line="360" w:lineRule="auto"/>
        <w:ind w:firstLine="426"/>
        <w:rPr>
          <w:rFonts w:cs="Times New Roman"/>
          <w:sz w:val="22"/>
          <w:lang w:val="id-ID"/>
        </w:rPr>
      </w:pPr>
      <w:r>
        <w:rPr>
          <w:rFonts w:cs="Times New Roman"/>
          <w:sz w:val="22"/>
          <w:lang w:val="id-ID"/>
        </w:rPr>
        <w:t>Buah bit (</w:t>
      </w:r>
      <w:r>
        <w:rPr>
          <w:rFonts w:cs="Times New Roman"/>
          <w:i/>
          <w:sz w:val="22"/>
          <w:lang w:val="id-ID"/>
        </w:rPr>
        <w:t>Beta vulgaris l.)</w:t>
      </w:r>
      <w:r>
        <w:rPr>
          <w:rFonts w:cs="Times New Roman"/>
          <w:sz w:val="22"/>
          <w:lang w:val="id-ID"/>
        </w:rPr>
        <w:t xml:space="preserve"> mengandung asam lemak jenuh 0,03, asam folat 34%, zat besi 7,4% dan juga kandungan lain yang bermanfaat untuk memperbaiki sirkulasi serta meningkatkan kadar Hb</w:t>
      </w:r>
      <w:r>
        <w:rPr>
          <w:rFonts w:cs="Times New Roman"/>
          <w:sz w:val="22"/>
          <w:lang w:val="id-ID"/>
        </w:rPr>
        <w:fldChar w:fldCharType="begin"/>
      </w:r>
      <w:r>
        <w:rPr>
          <w:rFonts w:cs="Times New Roman"/>
          <w:sz w:val="22"/>
          <w:lang w:val="id-ID"/>
        </w:rPr>
        <w:instrText xml:space="preserve">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Pr>
          <w:rFonts w:cs="Times New Roman"/>
          <w:sz w:val="22"/>
          <w:lang w:val="id-ID"/>
        </w:rPr>
        <w:fldChar w:fldCharType="separate"/>
      </w:r>
      <w:r>
        <w:rPr>
          <w:rFonts w:cs="Times New Roman"/>
          <w:sz w:val="22"/>
          <w:lang w:val="id-ID"/>
        </w:rPr>
        <w:t>(Amila et al., 2021)</w:t>
      </w:r>
      <w:r>
        <w:rPr>
          <w:rFonts w:cs="Times New Roman"/>
          <w:sz w:val="22"/>
          <w:lang w:val="id-ID"/>
        </w:rPr>
        <w:fldChar w:fldCharType="end"/>
      </w:r>
      <w:r>
        <w:rPr>
          <w:rFonts w:cs="Times New Roman"/>
          <w:sz w:val="22"/>
          <w:lang w:val="id-ID"/>
        </w:rPr>
        <w:t xml:space="preserve">. Hal ini dibuktikan dengan kadar Hb Nn. A meningkat dari 8.5 mg/dL menjadi 12.1 mg/dL, dan kadar Hb Nn. W meningkat dari 9.5 mg/dL menjadi 12.4 mg/dL. Selaras dengan penelitian yang dilakukan oleh </w:t>
      </w:r>
      <w:r>
        <w:rPr>
          <w:rFonts w:cs="Times New Roman"/>
          <w:sz w:val="22"/>
          <w:lang w:val="id-ID"/>
        </w:rPr>
        <w:fldChar w:fldCharType="begin"/>
      </w:r>
      <w:r>
        <w:rPr>
          <w:rFonts w:cs="Times New Roman"/>
          <w:sz w:val="22"/>
          <w:lang w:val="id-ID"/>
        </w:rPr>
        <w:instrText xml:space="preserve">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2018)","manualFormatting":"Ikawati dan Rokhana tahun 2018","plainTextFormattedCitation":"(Ikawati &amp; Rokhana, 2018)","previouslyFormattedCitation":"(Ikawati &amp; Rokhana, 2018)"},"properties":{"noteIndex":0},"schema":"https://github.com/citation-style-language/schema/raw/master/csl-citation.json"}</w:instrText>
      </w:r>
      <w:r>
        <w:rPr>
          <w:rFonts w:cs="Times New Roman"/>
          <w:sz w:val="22"/>
          <w:lang w:val="id-ID"/>
        </w:rPr>
        <w:fldChar w:fldCharType="separate"/>
      </w:r>
      <w:r>
        <w:rPr>
          <w:rFonts w:cs="Times New Roman"/>
          <w:sz w:val="22"/>
          <w:lang w:val="id-ID"/>
        </w:rPr>
        <w:t>Ikawati dan Rokhana tahun 2018</w:t>
      </w:r>
      <w:r>
        <w:rPr>
          <w:rFonts w:cs="Times New Roman"/>
          <w:sz w:val="22"/>
          <w:lang w:val="id-ID"/>
        </w:rPr>
        <w:fldChar w:fldCharType="end"/>
      </w:r>
      <w:r>
        <w:rPr>
          <w:rFonts w:cs="Times New Roman"/>
          <w:sz w:val="22"/>
          <w:lang w:val="id-ID"/>
        </w:rPr>
        <w:t xml:space="preserve"> yang mendapat hasil uji beda didapatkan nilai P &lt; 0.05. Terdapat peningkatan yang bermakna terhadap nilai Indek Eritrosit setelah mengonsumsi buah bit dengan asupan buah bit sebanyak 200 gr yang dikonsumsi dalam bentuk sari buah bit 250 ml/ hari selama 7 hari</w:t>
      </w:r>
      <w:r>
        <w:rPr>
          <w:rFonts w:cs="Times New Roman"/>
          <w:sz w:val="22"/>
          <w:lang w:val="id-ID"/>
        </w:rPr>
        <w:fldChar w:fldCharType="begin"/>
      </w:r>
      <w:r>
        <w:rPr>
          <w:rFonts w:cs="Times New Roman"/>
          <w:sz w:val="22"/>
          <w:lang w:val="id-ID"/>
        </w:rPr>
        <w:instrText xml:space="preserve">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Pr>
          <w:rFonts w:cs="Times New Roman"/>
          <w:sz w:val="22"/>
          <w:lang w:val="id-ID"/>
        </w:rPr>
        <w:fldChar w:fldCharType="separate"/>
      </w:r>
      <w:r>
        <w:rPr>
          <w:rFonts w:cs="Times New Roman"/>
          <w:sz w:val="22"/>
          <w:lang w:val="id-ID"/>
        </w:rPr>
        <w:t>(Ikawati &amp; Rokhana, 2018)</w:t>
      </w:r>
      <w:r>
        <w:rPr>
          <w:rFonts w:cs="Times New Roman"/>
          <w:sz w:val="22"/>
          <w:lang w:val="id-ID"/>
        </w:rPr>
        <w:fldChar w:fldCharType="end"/>
      </w:r>
      <w:r>
        <w:rPr>
          <w:rFonts w:cs="Times New Roman"/>
          <w:sz w:val="22"/>
          <w:lang w:val="id-ID"/>
        </w:rPr>
        <w:t xml:space="preserve">. Juga penelitian Zuhraini dkk tahun 2021 didapatkan hasil rata-rata Hb pada remaja putri sebelum mengonsumsi jus buah bit sebesar 10,682 mg/dL dan rata-rata sesudah mengonsumsi jus buah bit sebesar 11,088 mg/dL, uji t didapat (p value 0,001 &lt; a 0.05) </w:t>
      </w:r>
      <w:r>
        <w:rPr>
          <w:rFonts w:cs="Times New Roman"/>
          <w:sz w:val="22"/>
          <w:lang w:val="id-ID"/>
        </w:rPr>
        <w:fldChar w:fldCharType="begin"/>
      </w:r>
      <w:r>
        <w:rPr>
          <w:rFonts w:cs="Times New Roman"/>
          <w:sz w:val="22"/>
          <w:lang w:val="id-ID"/>
        </w:rPr>
        <w:instrText xml:space="preserve">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2021)","plainTextFormattedCitation":"(Zuhraini et al., 2021)","previouslyFormattedCitation":"(Zuhraini et al., 2021)"},"properties":{"noteIndex":0},"schema":"https://github.com/citation-style-language/schema/raw/master/csl-citation.json"}</w:instrText>
      </w:r>
      <w:r>
        <w:rPr>
          <w:rFonts w:cs="Times New Roman"/>
          <w:sz w:val="22"/>
          <w:lang w:val="id-ID"/>
        </w:rPr>
        <w:fldChar w:fldCharType="separate"/>
      </w:r>
      <w:r>
        <w:rPr>
          <w:rFonts w:cs="Times New Roman"/>
          <w:sz w:val="22"/>
          <w:lang w:val="id-ID"/>
        </w:rPr>
        <w:t>(Zuhraini et al., 2021)</w:t>
      </w:r>
      <w:r>
        <w:rPr>
          <w:rFonts w:cs="Times New Roman"/>
          <w:sz w:val="22"/>
          <w:lang w:val="id-ID"/>
        </w:rPr>
        <w:fldChar w:fldCharType="end"/>
      </w:r>
      <w:r>
        <w:rPr>
          <w:rFonts w:cs="Times New Roman"/>
          <w:sz w:val="22"/>
          <w:lang w:val="id-ID"/>
        </w:rPr>
        <w:t>.</w:t>
      </w:r>
    </w:p>
    <w:p>
      <w:pPr>
        <w:pStyle w:val="2"/>
        <w:spacing w:line="360" w:lineRule="auto"/>
        <w:rPr>
          <w:rFonts w:cs="Times New Roman"/>
          <w:b/>
          <w:sz w:val="22"/>
          <w:lang w:val="id-ID"/>
        </w:rPr>
      </w:pPr>
    </w:p>
    <w:p>
      <w:pPr>
        <w:pStyle w:val="2"/>
        <w:spacing w:line="360" w:lineRule="auto"/>
        <w:rPr>
          <w:rFonts w:cs="Times New Roman"/>
          <w:b/>
          <w:sz w:val="22"/>
          <w:lang w:val="id-ID"/>
        </w:rPr>
      </w:pPr>
    </w:p>
    <w:p>
      <w:pPr>
        <w:pStyle w:val="2"/>
        <w:spacing w:line="360" w:lineRule="auto"/>
        <w:rPr>
          <w:rFonts w:cs="Times New Roman"/>
          <w:b/>
          <w:sz w:val="22"/>
          <w:lang w:val="id-ID"/>
        </w:rPr>
      </w:pPr>
      <w:r>
        <w:rPr>
          <w:rFonts w:cs="Times New Roman"/>
          <w:b/>
          <w:sz w:val="22"/>
          <w:lang w:val="id-ID"/>
        </w:rPr>
        <w:t>SIMPULAN DAN SARAN</w:t>
      </w:r>
    </w:p>
    <w:p>
      <w:pPr>
        <w:pStyle w:val="2"/>
        <w:spacing w:line="360" w:lineRule="auto"/>
        <w:ind w:firstLine="426"/>
        <w:rPr>
          <w:rFonts w:cs="Times New Roman"/>
          <w:sz w:val="22"/>
          <w:lang w:val="id-ID"/>
        </w:rPr>
      </w:pPr>
      <w:r>
        <w:rPr>
          <w:rFonts w:cs="Times New Roman"/>
          <w:sz w:val="22"/>
          <w:lang w:val="id-ID"/>
        </w:rPr>
        <w:t>Setelah dilakukan tindakan keperawatan pemberian jus buah bit (</w:t>
      </w:r>
      <w:r>
        <w:rPr>
          <w:rFonts w:cs="Times New Roman"/>
          <w:i/>
          <w:sz w:val="22"/>
          <w:lang w:val="id-ID"/>
        </w:rPr>
        <w:t>Beta vulgaris l.)</w:t>
      </w:r>
      <w:r>
        <w:rPr>
          <w:rFonts w:cs="Times New Roman"/>
          <w:sz w:val="22"/>
          <w:lang w:val="id-ID"/>
        </w:rPr>
        <w:t xml:space="preserve"> selama tujuh hari perawatan, didapatkan kesimpulan sebagai berikut:</w:t>
      </w:r>
    </w:p>
    <w:p>
      <w:pPr>
        <w:pStyle w:val="2"/>
        <w:numPr>
          <w:ilvl w:val="0"/>
          <w:numId w:val="2"/>
        </w:numPr>
        <w:spacing w:line="360" w:lineRule="auto"/>
        <w:ind w:left="426" w:hanging="426"/>
        <w:rPr>
          <w:rFonts w:cs="Times New Roman"/>
          <w:sz w:val="22"/>
          <w:lang w:val="id-ID"/>
        </w:rPr>
      </w:pPr>
      <w:r>
        <w:rPr>
          <w:rFonts w:cs="Times New Roman"/>
          <w:sz w:val="22"/>
          <w:lang w:val="id-ID"/>
        </w:rPr>
        <w:t>Anemia merupakan suatu kondisi kelainan sel darah merah yang dapat menurunkan kadar Hb darah. Pada penderita anemia ditemukan beberapa manifestasi klinis yaitu kadar Hb &lt;10 mg/dL, tekanan darah rendah &lt;120/100 mmHg, merasa lelah atau lesu, pusing, konsentrasi berkurang, takikardi dan sebagainya.</w:t>
      </w:r>
    </w:p>
    <w:p>
      <w:pPr>
        <w:pStyle w:val="2"/>
        <w:numPr>
          <w:ilvl w:val="0"/>
          <w:numId w:val="2"/>
        </w:numPr>
        <w:spacing w:line="360" w:lineRule="auto"/>
        <w:ind w:left="426" w:hanging="426"/>
        <w:rPr>
          <w:rFonts w:cs="Times New Roman"/>
          <w:sz w:val="22"/>
          <w:lang w:val="id-ID"/>
        </w:rPr>
      </w:pPr>
      <w:r>
        <w:rPr>
          <w:rFonts w:cs="Times New Roman"/>
          <w:sz w:val="22"/>
          <w:lang w:val="id-ID"/>
        </w:rPr>
        <w:t>Perfusi perifer tidak efektif dapat terjadi pada penderita anemia, dengan tanda dan gejala pengisian kapiler &gt;3 detik, nadi perifer menurun, akral teraba dingin, warna kulit pucat dan turgor kulit menurun.</w:t>
      </w:r>
    </w:p>
    <w:p>
      <w:pPr>
        <w:pStyle w:val="2"/>
        <w:numPr>
          <w:ilvl w:val="0"/>
          <w:numId w:val="2"/>
        </w:numPr>
        <w:spacing w:line="360" w:lineRule="auto"/>
        <w:ind w:left="426" w:hanging="426"/>
        <w:rPr>
          <w:rFonts w:cs="Times New Roman"/>
          <w:sz w:val="22"/>
          <w:lang w:val="id-ID"/>
        </w:rPr>
      </w:pPr>
      <w:r>
        <w:rPr>
          <w:rFonts w:cs="Times New Roman"/>
          <w:sz w:val="22"/>
          <w:lang w:val="id-ID"/>
        </w:rPr>
        <w:t>Pemberian jus buah bit (</w:t>
      </w:r>
      <w:r>
        <w:rPr>
          <w:rFonts w:cs="Times New Roman"/>
          <w:i/>
          <w:sz w:val="22"/>
          <w:lang w:val="id-ID"/>
        </w:rPr>
        <w:t>Beta vulgaris l.)</w:t>
      </w:r>
      <w:r>
        <w:rPr>
          <w:rFonts w:cs="Times New Roman"/>
          <w:sz w:val="22"/>
          <w:lang w:val="id-ID"/>
        </w:rPr>
        <w:t xml:space="preserve"> merupakan salah satu intervensi keperawatan untuk perawatan sirkulasi yang berfokus pada pemberian diet pasien anemia. Mengonsumsi jus buah bit (</w:t>
      </w:r>
      <w:r>
        <w:rPr>
          <w:rFonts w:cs="Times New Roman"/>
          <w:i/>
          <w:sz w:val="22"/>
          <w:lang w:val="id-ID"/>
        </w:rPr>
        <w:t>Beta vulgaris l.)</w:t>
      </w:r>
      <w:r>
        <w:rPr>
          <w:rFonts w:cs="Times New Roman"/>
          <w:sz w:val="22"/>
          <w:lang w:val="id-ID"/>
        </w:rPr>
        <w:t xml:space="preserve"> 250 ml selama tujuh hari dapat meningkatkan perfusi perifer dan kadar Hb pada penderita anemia. </w:t>
      </w:r>
    </w:p>
    <w:p>
      <w:pPr>
        <w:pStyle w:val="2"/>
        <w:numPr>
          <w:ilvl w:val="0"/>
          <w:numId w:val="2"/>
        </w:numPr>
        <w:spacing w:line="360" w:lineRule="auto"/>
        <w:ind w:left="426" w:hanging="426"/>
        <w:rPr>
          <w:rFonts w:cs="Times New Roman"/>
          <w:sz w:val="22"/>
          <w:lang w:val="id-ID"/>
        </w:rPr>
      </w:pPr>
      <w:r>
        <w:rPr>
          <w:rFonts w:cs="Times New Roman"/>
          <w:sz w:val="22"/>
          <w:lang w:val="id-ID"/>
        </w:rPr>
        <w:t>Pada penelitian ini, diketahui bahwa mengonsumsi jus buah bit (</w:t>
      </w:r>
      <w:r>
        <w:rPr>
          <w:rFonts w:cs="Times New Roman"/>
          <w:i/>
          <w:sz w:val="22"/>
          <w:lang w:val="id-ID"/>
        </w:rPr>
        <w:t>Beta vulgaris l.)</w:t>
      </w:r>
      <w:r>
        <w:rPr>
          <w:rFonts w:cs="Times New Roman"/>
          <w:sz w:val="22"/>
          <w:lang w:val="id-ID"/>
        </w:rPr>
        <w:t xml:space="preserve"> efektif untuk meningkatkan kadar Hb pada penderita anemia, dibuktikan dengan kadar hemoglobin Nn. A sebelum intervensi adalah 8.5 mg/dL dan setelah intervensi meningkat menjadi 12.1 mg/dL. Sedangkan pada Nn. W, kadar hemoglobin sebelum intervensi adalah 9.5 mg/dL dan setelah intervensi adalah 12.4 mg/dL.</w:t>
      </w:r>
    </w:p>
    <w:p>
      <w:pPr>
        <w:pStyle w:val="2"/>
        <w:numPr>
          <w:ilvl w:val="0"/>
          <w:numId w:val="2"/>
        </w:numPr>
        <w:spacing w:line="360" w:lineRule="auto"/>
        <w:ind w:left="426" w:hanging="426"/>
        <w:rPr>
          <w:rFonts w:cs="Times New Roman"/>
          <w:sz w:val="22"/>
          <w:lang w:val="id-ID"/>
        </w:rPr>
      </w:pPr>
      <w:r>
        <w:rPr>
          <w:rFonts w:cs="Times New Roman"/>
          <w:sz w:val="22"/>
          <w:lang w:val="id-ID"/>
        </w:rPr>
        <w:t>Mengonsumsi jus buah bit (</w:t>
      </w:r>
      <w:r>
        <w:rPr>
          <w:rFonts w:cs="Times New Roman"/>
          <w:i/>
          <w:sz w:val="22"/>
          <w:lang w:val="id-ID"/>
        </w:rPr>
        <w:t>Beta vulgaris l.)</w:t>
      </w:r>
      <w:r>
        <w:rPr>
          <w:rFonts w:cs="Times New Roman"/>
          <w:sz w:val="22"/>
          <w:lang w:val="id-ID"/>
        </w:rPr>
        <w:t xml:space="preserve"> dengan dosis 250 ml selama tujuh hari efektif untuk mengatasi masalah perfusi perifer tidak efektif pada penderita anemia, dibuktikan dengan meningkatnya perfusi perifer pada kedua responden.</w:t>
      </w:r>
    </w:p>
    <w:p>
      <w:pPr>
        <w:pStyle w:val="2"/>
        <w:spacing w:line="360" w:lineRule="auto"/>
        <w:ind w:firstLine="426"/>
        <w:rPr>
          <w:rFonts w:cs="Times New Roman"/>
          <w:sz w:val="22"/>
          <w:lang w:val="id-ID"/>
        </w:rPr>
      </w:pPr>
      <w:r>
        <w:rPr>
          <w:rFonts w:cs="Times New Roman"/>
          <w:sz w:val="22"/>
          <w:lang w:val="id-ID"/>
        </w:rPr>
        <w:t>Saran untuk peneliti selanjutnya, untuk memperoleh gambaran yang didapatkan tentang penatalaksanaan perfusi perifer tidak efektif dengan pemberian jus buah bit (</w:t>
      </w:r>
      <w:r>
        <w:rPr>
          <w:rFonts w:cs="Times New Roman"/>
          <w:i/>
          <w:sz w:val="22"/>
          <w:lang w:val="id-ID"/>
        </w:rPr>
        <w:t>Beta vulgaris l.)</w:t>
      </w:r>
      <w:r>
        <w:rPr>
          <w:rFonts w:cs="Times New Roman"/>
          <w:sz w:val="22"/>
          <w:lang w:val="id-ID"/>
        </w:rPr>
        <w:t xml:space="preserve"> perlu diadakan penelitian lebih lanjut dengan menambah jumlah responden.</w:t>
      </w:r>
    </w:p>
    <w:p>
      <w:pPr>
        <w:pStyle w:val="2"/>
        <w:spacing w:line="360" w:lineRule="auto"/>
        <w:rPr>
          <w:rFonts w:cs="Times New Roman"/>
          <w:sz w:val="22"/>
          <w:lang w:val="id-ID"/>
        </w:rPr>
      </w:pPr>
    </w:p>
    <w:p>
      <w:pPr>
        <w:pStyle w:val="2"/>
        <w:spacing w:line="360" w:lineRule="auto"/>
        <w:rPr>
          <w:rFonts w:cs="Times New Roman"/>
          <w:b/>
          <w:sz w:val="22"/>
          <w:lang w:val="id-ID"/>
        </w:rPr>
      </w:pPr>
      <w:r>
        <w:rPr>
          <w:rFonts w:cs="Times New Roman"/>
          <w:b/>
          <w:sz w:val="22"/>
          <w:lang w:val="id-ID"/>
        </w:rPr>
        <w:t>DAFTAR PUSTAKA</w:t>
      </w:r>
    </w:p>
    <w:p>
      <w:pPr>
        <w:widowControl w:val="0"/>
        <w:autoSpaceDE w:val="0"/>
        <w:autoSpaceDN w:val="0"/>
        <w:adjustRightInd w:val="0"/>
        <w:spacing w:after="0"/>
        <w:ind w:left="480" w:hanging="480"/>
        <w:rPr>
          <w:rFonts w:cs="Times New Roman"/>
          <w:sz w:val="22"/>
          <w:szCs w:val="24"/>
        </w:rPr>
      </w:pPr>
      <w:r>
        <w:rPr>
          <w:rFonts w:cs="Times New Roman"/>
          <w:sz w:val="22"/>
          <w:lang w:val="id-ID"/>
        </w:rPr>
        <w:fldChar w:fldCharType="begin"/>
      </w:r>
      <w:r>
        <w:rPr>
          <w:rFonts w:cs="Times New Roman"/>
          <w:sz w:val="22"/>
          <w:lang w:val="id-ID"/>
        </w:rPr>
        <w:instrText xml:space="preserve">ADDIN Mendeley Bibliography CSL_BIBLIOGRAPHY </w:instrText>
      </w:r>
      <w:r>
        <w:rPr>
          <w:rFonts w:cs="Times New Roman"/>
          <w:sz w:val="22"/>
          <w:lang w:val="id-ID"/>
        </w:rPr>
        <w:fldChar w:fldCharType="separate"/>
      </w:r>
      <w:r>
        <w:rPr>
          <w:rFonts w:cs="Times New Roman"/>
          <w:sz w:val="22"/>
          <w:szCs w:val="24"/>
        </w:rPr>
        <w:t xml:space="preserve">Abdulrazzaq Othman Alagbare. (2017). Erythrocyte Disorders (Anemia). In </w:t>
      </w:r>
      <w:r>
        <w:rPr>
          <w:rFonts w:cs="Times New Roman"/>
          <w:i/>
          <w:iCs/>
          <w:sz w:val="22"/>
          <w:szCs w:val="24"/>
        </w:rPr>
        <w:t>Hematology Lecture Notes For Bachelor of Medical Laboratory Science</w:t>
      </w:r>
      <w:r>
        <w:rPr>
          <w:rFonts w:cs="Times New Roman"/>
          <w:sz w:val="22"/>
          <w:szCs w:val="24"/>
        </w:rPr>
        <w:t>. Hematology Lecture Notes.</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Agita Pasaribu, A. (2022, April). Buah Bit dapat Mencegah Anemia, Mitos or Fakta? </w:t>
      </w:r>
      <w:r>
        <w:rPr>
          <w:rFonts w:cs="Times New Roman"/>
          <w:i/>
          <w:iCs/>
          <w:sz w:val="22"/>
          <w:szCs w:val="24"/>
        </w:rPr>
        <w:t>Kompasiana</w:t>
      </w:r>
      <w:r>
        <w:rPr>
          <w:rFonts w:cs="Times New Roman"/>
          <w:sz w:val="22"/>
          <w:szCs w:val="24"/>
        </w:rPr>
        <w:t>. https://www.kompasiana.com/aggriditaagita/625d9c58bb44863d20501f72/buah-bit-dapat-mencegah-anemia-mitos-or-fakta</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Amila, Maimunah, S., Syapitri, H., Marpaung, J. K., &amp; Girsang, V. I. (2021). </w:t>
      </w:r>
      <w:r>
        <w:rPr>
          <w:rFonts w:cs="Times New Roman"/>
          <w:i/>
          <w:iCs/>
          <w:sz w:val="22"/>
          <w:szCs w:val="24"/>
        </w:rPr>
        <w:t>Mengenal Si Cantik Bit dan Manfaatnya</w:t>
      </w:r>
      <w:r>
        <w:rPr>
          <w:rFonts w:cs="Times New Roman"/>
          <w:sz w:val="22"/>
          <w:szCs w:val="24"/>
        </w:rPr>
        <w:t xml:space="preserve"> (Y. Umaya (ed.)). Ahlimedia Press.</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Azwar. (2019). </w:t>
      </w:r>
      <w:r>
        <w:rPr>
          <w:rFonts w:cs="Times New Roman"/>
          <w:i/>
          <w:iCs/>
          <w:sz w:val="22"/>
          <w:szCs w:val="24"/>
        </w:rPr>
        <w:t>Terapi Non Farmakologis untuk Pasien Anemia</w:t>
      </w:r>
      <w:r>
        <w:rPr>
          <w:rFonts w:cs="Times New Roman"/>
          <w:sz w:val="22"/>
          <w:szCs w:val="24"/>
        </w:rPr>
        <w:t>. Pustaka Taman Ilmu.</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Brunner, &amp; Suddarth’s. (2016). </w:t>
      </w:r>
      <w:r>
        <w:rPr>
          <w:rFonts w:cs="Times New Roman"/>
          <w:i/>
          <w:iCs/>
          <w:sz w:val="22"/>
          <w:szCs w:val="24"/>
        </w:rPr>
        <w:t>Canadian Textbook of Medical-Surgical Nursing</w:t>
      </w:r>
      <w:r>
        <w:rPr>
          <w:rFonts w:cs="Times New Roman"/>
          <w:sz w:val="22"/>
          <w:szCs w:val="24"/>
        </w:rPr>
        <w:t xml:space="preserve"> (P. Paul, R. A. Day, &amp; B. Williams (eds.); 3rd ed.). Wolters Kluwer.</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Global Health Observatory. (2021). </w:t>
      </w:r>
      <w:r>
        <w:rPr>
          <w:rFonts w:cs="Times New Roman"/>
          <w:i/>
          <w:iCs/>
          <w:sz w:val="22"/>
          <w:szCs w:val="24"/>
        </w:rPr>
        <w:t>Anaemia in Women and Children</w:t>
      </w:r>
      <w:r>
        <w:rPr>
          <w:rFonts w:cs="Times New Roman"/>
          <w:sz w:val="22"/>
          <w:szCs w:val="24"/>
        </w:rPr>
        <w:t>. World Health Organization. https://www.who.int/data/gho/data/themes/topics/anaemia_in_women_and_children</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Ikawati, K., &amp; Rokhana. (2018). Pengaruh Buah Bit (Beta Vulgaris) Terhadap Indek Eritrosit pada Remaja Putri Dengan Anemia. </w:t>
      </w:r>
      <w:r>
        <w:rPr>
          <w:rFonts w:cs="Times New Roman"/>
          <w:i/>
          <w:iCs/>
          <w:sz w:val="22"/>
          <w:szCs w:val="24"/>
        </w:rPr>
        <w:t>Journal of Nursing and Public Health</w:t>
      </w:r>
      <w:r>
        <w:rPr>
          <w:rFonts w:cs="Times New Roman"/>
          <w:sz w:val="22"/>
          <w:szCs w:val="24"/>
        </w:rPr>
        <w:t xml:space="preserve">, </w:t>
      </w:r>
      <w:r>
        <w:rPr>
          <w:rFonts w:cs="Times New Roman"/>
          <w:i/>
          <w:iCs/>
          <w:sz w:val="22"/>
          <w:szCs w:val="24"/>
        </w:rPr>
        <w:t>6</w:t>
      </w:r>
      <w:r>
        <w:rPr>
          <w:rFonts w:cs="Times New Roman"/>
          <w:sz w:val="22"/>
          <w:szCs w:val="24"/>
        </w:rPr>
        <w:t>(2), 60–66. https://jurnal.unived.ac.id/index.php/jnph/article/view/659</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Kemenkes RI. (2018a). Hasil Utama RISKESDAS 2018. In </w:t>
      </w:r>
      <w:r>
        <w:rPr>
          <w:rFonts w:cs="Times New Roman"/>
          <w:i/>
          <w:iCs/>
          <w:sz w:val="22"/>
          <w:szCs w:val="24"/>
        </w:rPr>
        <w:t>Kementrian Kesehatan RI</w:t>
      </w:r>
      <w:r>
        <w:rPr>
          <w:rFonts w:cs="Times New Roman"/>
          <w:sz w:val="22"/>
          <w:szCs w:val="24"/>
        </w:rPr>
        <w:t xml:space="preserve"> (Vol. 53, Issue 9).</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Kemenkes RI. (2018b). </w:t>
      </w:r>
      <w:r>
        <w:rPr>
          <w:rFonts w:cs="Times New Roman"/>
          <w:i/>
          <w:iCs/>
          <w:sz w:val="22"/>
          <w:szCs w:val="24"/>
        </w:rPr>
        <w:t>Kenali Masalah Gizi yang Ancam Remaja Indonesia</w:t>
      </w:r>
      <w:r>
        <w:rPr>
          <w:rFonts w:cs="Times New Roman"/>
          <w:sz w:val="22"/>
          <w:szCs w:val="24"/>
        </w:rPr>
        <w:t>. Kementrian Kesehatan Republik Indonesia. https://www.kemkes.go.id/article/print/18051600005/kenali-masalah-gizi-yang-ancam-remaja-indonesia.html#:~:text=Remaja Kurang Zat Besi (Anemia)&amp;text=Anemia pada remaja berdampak buruk,belajar%2C kebugaran remaja dan produktifitas.</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Kompas.com. (2021). </w:t>
      </w:r>
      <w:r>
        <w:rPr>
          <w:rFonts w:cs="Times New Roman"/>
          <w:i/>
          <w:iCs/>
          <w:sz w:val="22"/>
          <w:szCs w:val="24"/>
        </w:rPr>
        <w:t>Waspadai Dampak Anemia pada Remaja</w:t>
      </w:r>
      <w:r>
        <w:rPr>
          <w:rFonts w:cs="Times New Roman"/>
          <w:sz w:val="22"/>
          <w:szCs w:val="24"/>
        </w:rPr>
        <w:t>. Kompas.Com. https://www.kompas.com/edu/read/2021/10/05/202957271/waspadai-dampak-anemia-pada-remaja-putri-ini-penjelasan-dosen-ipb?page=all</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LeMone, P., Burke, K. M., &amp; Bauldoff, G. (2015). Buku Ajar Keperawatan Medikal Bedah. In A. Linda (Ed.), </w:t>
      </w:r>
      <w:r>
        <w:rPr>
          <w:rFonts w:cs="Times New Roman"/>
          <w:i/>
          <w:iCs/>
          <w:sz w:val="22"/>
          <w:szCs w:val="24"/>
        </w:rPr>
        <w:t>Buku Ajar Keperawatan Medikal Bedah : Gangguan Eliminasi dan Gangguan Kardiovaskular</w:t>
      </w:r>
      <w:r>
        <w:rPr>
          <w:rFonts w:cs="Times New Roman"/>
          <w:sz w:val="22"/>
          <w:szCs w:val="24"/>
        </w:rPr>
        <w:t xml:space="preserve"> (Edisi 5, pp. 961–1388). EGC.</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LeMone, P., Burke, K. M., &amp; Bauldoff, G. (2016). </w:t>
      </w:r>
      <w:r>
        <w:rPr>
          <w:rFonts w:cs="Times New Roman"/>
          <w:i/>
          <w:iCs/>
          <w:sz w:val="22"/>
          <w:szCs w:val="24"/>
        </w:rPr>
        <w:t>Buku Ajar Keperawatan Medikal Bedah</w:t>
      </w:r>
      <w:r>
        <w:rPr>
          <w:rFonts w:cs="Times New Roman"/>
          <w:sz w:val="22"/>
          <w:szCs w:val="24"/>
        </w:rPr>
        <w:t xml:space="preserve"> (5th ed.). Penerbit Buku Kedokteran EGC.</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Mubin, A. H. (2014). </w:t>
      </w:r>
      <w:r>
        <w:rPr>
          <w:rFonts w:cs="Times New Roman"/>
          <w:i/>
          <w:iCs/>
          <w:sz w:val="22"/>
          <w:szCs w:val="24"/>
        </w:rPr>
        <w:t>Paduan Praktis Ilmu Penyakit Dalam</w:t>
      </w:r>
      <w:r>
        <w:rPr>
          <w:rFonts w:cs="Times New Roman"/>
          <w:sz w:val="22"/>
          <w:szCs w:val="24"/>
        </w:rPr>
        <w:t xml:space="preserve"> (Y. J. Suyono (ed.); 3rd ed.). EGC.</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PPNI. (2017). </w:t>
      </w:r>
      <w:r>
        <w:rPr>
          <w:rFonts w:cs="Times New Roman"/>
          <w:i/>
          <w:iCs/>
          <w:sz w:val="22"/>
          <w:szCs w:val="24"/>
        </w:rPr>
        <w:t>Standar Diagnosis Keperawatan Indonesia : Definisi dan Indikator Diagnostik</w:t>
      </w:r>
      <w:r>
        <w:rPr>
          <w:rFonts w:cs="Times New Roman"/>
          <w:sz w:val="22"/>
          <w:szCs w:val="24"/>
        </w:rPr>
        <w:t xml:space="preserve"> (1st ed.). DPP PPNI.</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PPNI. (2018). </w:t>
      </w:r>
      <w:r>
        <w:rPr>
          <w:rFonts w:cs="Times New Roman"/>
          <w:i/>
          <w:iCs/>
          <w:sz w:val="22"/>
          <w:szCs w:val="24"/>
        </w:rPr>
        <w:t>Standar Intervensi Keperawatan Indonesia: Definisi dan Tindakan Keperawatan</w:t>
      </w:r>
      <w:r>
        <w:rPr>
          <w:rFonts w:cs="Times New Roman"/>
          <w:sz w:val="22"/>
          <w:szCs w:val="24"/>
        </w:rPr>
        <w:t xml:space="preserve"> (1st ed.). DPP PPNI.</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Priyadharsini, S., Brundha, &amp; Rani, L. (2020). Comparative Study on Effects of Beetroot Juice and Dates in Iron Deficiency Anemia Patients. </w:t>
      </w:r>
      <w:r>
        <w:rPr>
          <w:rFonts w:cs="Times New Roman"/>
          <w:i/>
          <w:iCs/>
          <w:sz w:val="22"/>
          <w:szCs w:val="24"/>
        </w:rPr>
        <w:t>Bioscience Biotechnology Research Communications</w:t>
      </w:r>
      <w:r>
        <w:rPr>
          <w:rFonts w:cs="Times New Roman"/>
          <w:sz w:val="22"/>
          <w:szCs w:val="24"/>
        </w:rPr>
        <w:t xml:space="preserve">, </w:t>
      </w:r>
      <w:r>
        <w:rPr>
          <w:rFonts w:cs="Times New Roman"/>
          <w:i/>
          <w:iCs/>
          <w:sz w:val="22"/>
          <w:szCs w:val="24"/>
        </w:rPr>
        <w:t>13</w:t>
      </w:r>
      <w:r>
        <w:rPr>
          <w:rFonts w:cs="Times New Roman"/>
          <w:sz w:val="22"/>
          <w:szCs w:val="24"/>
        </w:rPr>
        <w:t>(8), 81–85. https://doi.org/10.21786/bbrc/13.8/114</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Rahayu, A., Yulidasari, F., Putri, A. O., &amp; Anggraini, L. (2019). Metode Orkes-Ku (Raport Kesehatanku) dalam Mengidentifikasi Potensi Kejadian Anemia Gizi pada Remaja Putri. In M. S. Noor, F. Rahman, D. Rosadi, A. R. Sari, N. Laily, &amp; V. Y. Anhar (Eds.), </w:t>
      </w:r>
      <w:r>
        <w:rPr>
          <w:rFonts w:cs="Times New Roman"/>
          <w:i/>
          <w:iCs/>
          <w:sz w:val="22"/>
          <w:szCs w:val="24"/>
        </w:rPr>
        <w:t>CV Mine</w:t>
      </w:r>
      <w:r>
        <w:rPr>
          <w:rFonts w:cs="Times New Roman"/>
          <w:sz w:val="22"/>
          <w:szCs w:val="24"/>
        </w:rPr>
        <w:t>. CV Mine.</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Rahma, I. (2017). </w:t>
      </w:r>
      <w:r>
        <w:rPr>
          <w:rFonts w:cs="Times New Roman"/>
          <w:i/>
          <w:iCs/>
          <w:sz w:val="22"/>
          <w:szCs w:val="24"/>
        </w:rPr>
        <w:t>Hubungan Tingkat Kecukupan Fe, Vitamin B9, dan Vitamin B12 dengan Kadar Hemoglobin Anak Usia 11 Tahun Sekolah Dasar Negeri 02 Pedurungan Kidul Semarang</w:t>
      </w:r>
      <w:r>
        <w:rPr>
          <w:rFonts w:cs="Times New Roman"/>
          <w:sz w:val="22"/>
          <w:szCs w:val="24"/>
        </w:rPr>
        <w:t xml:space="preserve"> [Universitas Muhammadiyah Semarang]. http://repository.unimus.ac.id</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Smeltzer, &amp; Bare’s. (2017). </w:t>
      </w:r>
      <w:r>
        <w:rPr>
          <w:rFonts w:cs="Times New Roman"/>
          <w:i/>
          <w:iCs/>
          <w:sz w:val="22"/>
          <w:szCs w:val="24"/>
        </w:rPr>
        <w:t xml:space="preserve">Smeltzer &amp; Bare’s Textbook of Medical-Surgical Nursing </w:t>
      </w:r>
      <w:r>
        <w:rPr>
          <w:rFonts w:cs="Times New Roman"/>
          <w:sz w:val="22"/>
          <w:szCs w:val="24"/>
        </w:rPr>
        <w:t xml:space="preserve"> (M. Farrell (ed.); 4th ed., Vol. 1). Wolters Kluwer.</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Soebroto, I. (2020). </w:t>
      </w:r>
      <w:r>
        <w:rPr>
          <w:rFonts w:cs="Times New Roman"/>
          <w:i/>
          <w:iCs/>
          <w:sz w:val="22"/>
          <w:szCs w:val="24"/>
        </w:rPr>
        <w:t>Cara Mudah Mengatasi Problem Anemia</w:t>
      </w:r>
      <w:r>
        <w:rPr>
          <w:rFonts w:cs="Times New Roman"/>
          <w:sz w:val="22"/>
          <w:szCs w:val="24"/>
        </w:rPr>
        <w:t>. Desa Pustaka Indonesia.</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Sukmadinata, N. S. (2020). </w:t>
      </w:r>
      <w:r>
        <w:rPr>
          <w:rFonts w:cs="Times New Roman"/>
          <w:i/>
          <w:iCs/>
          <w:sz w:val="22"/>
          <w:szCs w:val="24"/>
        </w:rPr>
        <w:t>Metode Penelitian Pendidikan</w:t>
      </w:r>
      <w:r>
        <w:rPr>
          <w:rFonts w:cs="Times New Roman"/>
          <w:sz w:val="22"/>
          <w:szCs w:val="24"/>
        </w:rPr>
        <w:t>. PT Remaja Rosdakarya.</w:t>
      </w:r>
    </w:p>
    <w:p>
      <w:pPr>
        <w:widowControl w:val="0"/>
        <w:autoSpaceDE w:val="0"/>
        <w:autoSpaceDN w:val="0"/>
        <w:adjustRightInd w:val="0"/>
        <w:spacing w:after="0"/>
        <w:ind w:left="480" w:hanging="480"/>
        <w:rPr>
          <w:rFonts w:cs="Times New Roman"/>
          <w:sz w:val="22"/>
          <w:szCs w:val="24"/>
        </w:rPr>
      </w:pPr>
      <w:r>
        <w:rPr>
          <w:rFonts w:cs="Times New Roman"/>
          <w:sz w:val="22"/>
          <w:szCs w:val="24"/>
        </w:rPr>
        <w:t xml:space="preserve">Susiloningtyas, I. (2014). Pemberian Zat Besi (Fe) dalam Kehamilan. </w:t>
      </w:r>
      <w:r>
        <w:rPr>
          <w:rFonts w:cs="Times New Roman"/>
          <w:i/>
          <w:iCs/>
          <w:sz w:val="22"/>
          <w:szCs w:val="24"/>
        </w:rPr>
        <w:t>Majalah Ilmiah Sultan Agung</w:t>
      </w:r>
      <w:r>
        <w:rPr>
          <w:rFonts w:cs="Times New Roman"/>
          <w:sz w:val="22"/>
          <w:szCs w:val="24"/>
        </w:rPr>
        <w:t xml:space="preserve">, </w:t>
      </w:r>
      <w:r>
        <w:rPr>
          <w:rFonts w:cs="Times New Roman"/>
          <w:i/>
          <w:iCs/>
          <w:sz w:val="22"/>
          <w:szCs w:val="24"/>
        </w:rPr>
        <w:t>50</w:t>
      </w:r>
      <w:r>
        <w:rPr>
          <w:rFonts w:cs="Times New Roman"/>
          <w:sz w:val="22"/>
          <w:szCs w:val="24"/>
        </w:rPr>
        <w:t>, 128.</w:t>
      </w:r>
    </w:p>
    <w:p>
      <w:pPr>
        <w:widowControl w:val="0"/>
        <w:autoSpaceDE w:val="0"/>
        <w:autoSpaceDN w:val="0"/>
        <w:adjustRightInd w:val="0"/>
        <w:spacing w:after="0"/>
        <w:ind w:left="480" w:hanging="480"/>
        <w:rPr>
          <w:rFonts w:cs="Times New Roman"/>
          <w:sz w:val="22"/>
        </w:rPr>
      </w:pPr>
      <w:r>
        <w:rPr>
          <w:rFonts w:cs="Times New Roman"/>
          <w:sz w:val="22"/>
          <w:szCs w:val="24"/>
        </w:rPr>
        <w:t xml:space="preserve">Zuhraini, R., Anggraini, Kurniasari, D., &amp; Suharman. (2021). Pengaruh Pemberian Jus Buah Bit dengan Peningkatan Hb pada Remaja Putri. </w:t>
      </w:r>
      <w:r>
        <w:rPr>
          <w:rFonts w:cs="Times New Roman"/>
          <w:i/>
          <w:iCs/>
          <w:sz w:val="22"/>
          <w:szCs w:val="24"/>
        </w:rPr>
        <w:t>MJ (Midwifery Journal)</w:t>
      </w:r>
      <w:r>
        <w:rPr>
          <w:rFonts w:cs="Times New Roman"/>
          <w:sz w:val="22"/>
          <w:szCs w:val="24"/>
        </w:rPr>
        <w:t xml:space="preserve">, </w:t>
      </w:r>
      <w:r>
        <w:rPr>
          <w:rFonts w:cs="Times New Roman"/>
          <w:i/>
          <w:iCs/>
          <w:sz w:val="22"/>
          <w:szCs w:val="24"/>
        </w:rPr>
        <w:t>1</w:t>
      </w:r>
      <w:r>
        <w:rPr>
          <w:rFonts w:cs="Times New Roman"/>
          <w:sz w:val="22"/>
          <w:szCs w:val="24"/>
        </w:rPr>
        <w:t>(3), 144–149. http://ejurnalmalahayati.ac.id/index.php/MJ/article/view/5221</w:t>
      </w:r>
    </w:p>
    <w:p>
      <w:pPr>
        <w:widowControl w:val="0"/>
        <w:autoSpaceDE w:val="0"/>
        <w:autoSpaceDN w:val="0"/>
        <w:adjustRightInd w:val="0"/>
        <w:spacing w:after="0"/>
        <w:ind w:left="480" w:hanging="480"/>
        <w:rPr>
          <w:rFonts w:cs="Times New Roman"/>
          <w:sz w:val="22"/>
          <w:lang w:val="id-ID"/>
        </w:rPr>
      </w:pPr>
      <w:r>
        <w:rPr>
          <w:rFonts w:cs="Times New Roman"/>
          <w:sz w:val="22"/>
          <w:lang w:val="id-ID"/>
        </w:rPr>
        <w:fldChar w:fldCharType="end"/>
      </w:r>
    </w:p>
    <w:sectPr>
      <w:type w:val="continuous"/>
      <w:pgSz w:w="11907" w:h="16839"/>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
    <w:nsid w:val="00000001"/>
    <w:multiLevelType w:val="multilevel"/>
    <w:tmpl w:val="00000001"/>
    <w:lvl w:ilvl="0" w:tentative="0">
      <w:start w:val="1"/>
      <w:numFmt w:val="decimal"/>
      <w:lvlText w:val="%1."/>
      <w:lvlJc w:val="left"/>
      <w:pPr>
        <w:ind w:left="720" w:hanging="72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A76D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99" w:semiHidden="0" w:name="annotation text"/>
    <w:lsdException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99" w:semiHidden="0" w:name="Balloon Text"/>
    <w:lsdException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160" w:line="360" w:lineRule="auto"/>
      <w:jc w:val="both"/>
    </w:pPr>
    <w:rPr>
      <w:rFonts w:ascii="Times New Roman" w:hAnsi="Times New Roman" w:eastAsia="Calibri" w:cs="Arial"/>
      <w:sz w:val="24"/>
      <w:szCs w:val="22"/>
      <w:lang w:val="en-US" w:eastAsia="en-US" w:bidi="ar-SA"/>
    </w:rPr>
  </w:style>
  <w:style w:type="paragraph" w:styleId="3">
    <w:name w:val="heading 1"/>
    <w:next w:val="1"/>
    <w:link w:val="18"/>
    <w:qFormat/>
    <w:uiPriority w:val="9"/>
    <w:pPr>
      <w:keepNext/>
      <w:keepLines/>
      <w:spacing w:after="109" w:line="249" w:lineRule="auto"/>
      <w:ind w:left="10" w:hanging="10"/>
      <w:jc w:val="center"/>
      <w:outlineLvl w:val="0"/>
    </w:pPr>
    <w:rPr>
      <w:rFonts w:ascii="Times New Roman" w:hAnsi="Times New Roman" w:eastAsia="Calibri" w:cs="Arial"/>
      <w:b/>
      <w:color w:val="000000"/>
      <w:sz w:val="24"/>
      <w:szCs w:val="22"/>
      <w:lang w:val="en-US" w:eastAsia="en-US" w:bidi="ar-SA"/>
    </w:rPr>
  </w:style>
  <w:style w:type="paragraph" w:styleId="4">
    <w:name w:val="heading 2"/>
    <w:next w:val="1"/>
    <w:link w:val="19"/>
    <w:qFormat/>
    <w:uiPriority w:val="9"/>
    <w:pPr>
      <w:keepNext/>
      <w:keepLines/>
      <w:spacing w:after="109" w:line="249" w:lineRule="auto"/>
      <w:ind w:left="10" w:hanging="10"/>
      <w:outlineLvl w:val="1"/>
    </w:pPr>
    <w:rPr>
      <w:rFonts w:ascii="Times New Roman" w:hAnsi="Times New Roman" w:eastAsia="Calibri" w:cs="Arial"/>
      <w:b/>
      <w:color w:val="000000"/>
      <w:sz w:val="24"/>
      <w:szCs w:val="22"/>
      <w:lang w:val="en-US" w:eastAsia="en-US" w:bidi="ar-SA"/>
    </w:rPr>
  </w:style>
  <w:style w:type="paragraph" w:styleId="5">
    <w:name w:val="heading 3"/>
    <w:next w:val="1"/>
    <w:link w:val="20"/>
    <w:qFormat/>
    <w:uiPriority w:val="9"/>
    <w:pPr>
      <w:keepNext/>
      <w:keepLines/>
      <w:spacing w:after="109" w:line="249" w:lineRule="auto"/>
      <w:ind w:left="10" w:hanging="10"/>
      <w:jc w:val="center"/>
      <w:outlineLvl w:val="2"/>
    </w:pPr>
    <w:rPr>
      <w:rFonts w:ascii="Times New Roman" w:hAnsi="Times New Roman" w:eastAsia="Calibri" w:cs="Arial"/>
      <w:b/>
      <w:color w:val="000000"/>
      <w:sz w:val="24"/>
      <w:szCs w:val="22"/>
      <w:lang w:val="en-US" w:eastAsia="en-US" w:bidi="ar-SA"/>
    </w:rPr>
  </w:style>
  <w:style w:type="character" w:default="1" w:styleId="6">
    <w:name w:val="Default Paragraph Font"/>
    <w:uiPriority w:val="1"/>
  </w:style>
  <w:style w:type="table" w:default="1" w:styleId="7">
    <w:name w:val="Normal Table"/>
    <w:uiPriority w:val="99"/>
    <w:tblPr>
      <w:tblCellMar>
        <w:top w:w="0" w:type="dxa"/>
        <w:left w:w="108" w:type="dxa"/>
        <w:bottom w:w="0" w:type="dxa"/>
        <w:right w:w="108" w:type="dxa"/>
      </w:tblCellMar>
    </w:tblPr>
  </w:style>
  <w:style w:type="paragraph" w:styleId="2">
    <w:name w:val="No Spacing"/>
    <w:qFormat/>
    <w:uiPriority w:val="1"/>
    <w:pPr>
      <w:spacing w:after="0" w:line="240" w:lineRule="auto"/>
      <w:jc w:val="both"/>
    </w:pPr>
    <w:rPr>
      <w:rFonts w:ascii="Times New Roman" w:hAnsi="Times New Roman" w:eastAsia="Calibri" w:cs="Arial"/>
      <w:sz w:val="24"/>
      <w:szCs w:val="22"/>
      <w:lang w:val="en-US" w:eastAsia="en-US" w:bidi="ar-SA"/>
    </w:rPr>
  </w:style>
  <w:style w:type="paragraph" w:styleId="8">
    <w:name w:val="Balloon Text"/>
    <w:basedOn w:val="1"/>
    <w:link w:val="25"/>
    <w:uiPriority w:val="99"/>
    <w:pPr>
      <w:spacing w:after="0" w:line="240" w:lineRule="auto"/>
    </w:pPr>
    <w:rPr>
      <w:rFonts w:ascii="Segoe UI" w:hAnsi="Segoe UI" w:cs="Segoe UI"/>
      <w:sz w:val="18"/>
      <w:szCs w:val="18"/>
    </w:rPr>
  </w:style>
  <w:style w:type="paragraph" w:styleId="9">
    <w:name w:val="caption"/>
    <w:basedOn w:val="1"/>
    <w:next w:val="1"/>
    <w:qFormat/>
    <w:uiPriority w:val="35"/>
    <w:pPr>
      <w:spacing w:after="200" w:line="240" w:lineRule="auto"/>
    </w:pPr>
    <w:rPr>
      <w:b/>
      <w:bCs/>
      <w:color w:val="4F81BD"/>
      <w:sz w:val="18"/>
      <w:szCs w:val="18"/>
    </w:rPr>
  </w:style>
  <w:style w:type="character" w:styleId="10">
    <w:name w:val="annotation reference"/>
    <w:basedOn w:val="6"/>
    <w:uiPriority w:val="99"/>
    <w:rPr>
      <w:sz w:val="16"/>
      <w:szCs w:val="16"/>
    </w:rPr>
  </w:style>
  <w:style w:type="paragraph" w:styleId="11">
    <w:name w:val="annotation text"/>
    <w:basedOn w:val="1"/>
    <w:link w:val="23"/>
    <w:uiPriority w:val="99"/>
    <w:pPr>
      <w:spacing w:line="240" w:lineRule="auto"/>
    </w:pPr>
    <w:rPr>
      <w:sz w:val="20"/>
      <w:szCs w:val="20"/>
    </w:rPr>
  </w:style>
  <w:style w:type="paragraph" w:styleId="12">
    <w:name w:val="annotation subject"/>
    <w:basedOn w:val="11"/>
    <w:next w:val="11"/>
    <w:link w:val="24"/>
    <w:uiPriority w:val="99"/>
    <w:rPr>
      <w:b/>
      <w:bCs/>
    </w:rPr>
  </w:style>
  <w:style w:type="paragraph" w:styleId="13">
    <w:name w:val="footer"/>
    <w:basedOn w:val="1"/>
    <w:link w:val="27"/>
    <w:qFormat/>
    <w:uiPriority w:val="99"/>
    <w:pPr>
      <w:tabs>
        <w:tab w:val="center" w:pos="4680"/>
        <w:tab w:val="right" w:pos="9360"/>
      </w:tabs>
      <w:spacing w:after="0" w:line="240" w:lineRule="auto"/>
    </w:pPr>
  </w:style>
  <w:style w:type="paragraph" w:styleId="14">
    <w:name w:val="header"/>
    <w:basedOn w:val="1"/>
    <w:link w:val="26"/>
    <w:uiPriority w:val="99"/>
    <w:pPr>
      <w:tabs>
        <w:tab w:val="center" w:pos="4680"/>
        <w:tab w:val="right" w:pos="9360"/>
      </w:tabs>
      <w:spacing w:after="0" w:line="240" w:lineRule="auto"/>
    </w:pPr>
  </w:style>
  <w:style w:type="character" w:styleId="15">
    <w:name w:val="Hyperlink"/>
    <w:uiPriority w:val="99"/>
    <w:rPr>
      <w:color w:val="0000FF"/>
      <w:u w:val="single"/>
    </w:rPr>
  </w:style>
  <w:style w:type="table" w:styleId="16">
    <w:name w:val="Table Grid"/>
    <w:basedOn w:val="7"/>
    <w:uiPriority w:val="59"/>
    <w:pPr>
      <w:spacing w:after="0" w:line="240" w:lineRule="auto"/>
    </w:pPr>
    <w:rPr>
      <w:rFonts w:ascii="Calibri" w:hAnsi="Calibri" w:cs="Arial"/>
      <w:sz w:val="20"/>
      <w:szCs w:val="20"/>
      <w:lang w:val="id-ID" w:eastAsia="id-ID"/>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table of figures"/>
    <w:basedOn w:val="1"/>
    <w:next w:val="1"/>
    <w:uiPriority w:val="99"/>
    <w:pPr>
      <w:spacing w:line="259" w:lineRule="auto"/>
    </w:pPr>
    <w:rPr>
      <w:rFonts w:cs="Calibri"/>
      <w:b/>
      <w:sz w:val="22"/>
      <w:lang w:eastAsia="zh-CN"/>
    </w:rPr>
  </w:style>
  <w:style w:type="character" w:customStyle="1" w:styleId="18">
    <w:name w:val="Heading 1 Char_81787356-e1d3-452c-a9d4-d8a85938b0b3"/>
    <w:link w:val="3"/>
    <w:uiPriority w:val="9"/>
    <w:rPr>
      <w:rFonts w:ascii="Times New Roman" w:hAnsi="Times New Roman" w:eastAsia="Arial" w:cs="Arial"/>
      <w:b/>
      <w:color w:val="000000"/>
      <w:sz w:val="24"/>
    </w:rPr>
  </w:style>
  <w:style w:type="character" w:customStyle="1" w:styleId="19">
    <w:name w:val="Heading 2 Char_a7775854-e91d-45df-81ea-bfb4b61a1882"/>
    <w:link w:val="4"/>
    <w:uiPriority w:val="9"/>
    <w:rPr>
      <w:rFonts w:ascii="Times New Roman" w:hAnsi="Times New Roman" w:eastAsia="Arial" w:cs="Arial"/>
      <w:b/>
      <w:color w:val="000000"/>
      <w:sz w:val="24"/>
    </w:rPr>
  </w:style>
  <w:style w:type="character" w:customStyle="1" w:styleId="20">
    <w:name w:val="Heading 3 Char_23dfc8cc-c56d-4f27-b50f-13b4acbee113"/>
    <w:link w:val="5"/>
    <w:uiPriority w:val="9"/>
    <w:rPr>
      <w:rFonts w:ascii="Times New Roman" w:hAnsi="Times New Roman" w:eastAsia="Arial" w:cs="Arial"/>
      <w:b/>
      <w:color w:val="000000"/>
      <w:sz w:val="24"/>
    </w:rPr>
  </w:style>
  <w:style w:type="paragraph" w:styleId="21">
    <w:name w:val="List Paragraph"/>
    <w:basedOn w:val="1"/>
    <w:link w:val="22"/>
    <w:qFormat/>
    <w:uiPriority w:val="0"/>
    <w:pPr>
      <w:ind w:left="720"/>
      <w:contextualSpacing/>
    </w:pPr>
  </w:style>
  <w:style w:type="character" w:customStyle="1" w:styleId="22">
    <w:name w:val="List Paragraph Char"/>
    <w:link w:val="21"/>
    <w:uiPriority w:val="0"/>
    <w:rPr>
      <w:rFonts w:ascii="Times New Roman" w:hAnsi="Times New Roman" w:cs="Arial"/>
      <w:sz w:val="24"/>
    </w:rPr>
  </w:style>
  <w:style w:type="character" w:customStyle="1" w:styleId="23">
    <w:name w:val="Comment Text Char"/>
    <w:basedOn w:val="6"/>
    <w:link w:val="11"/>
    <w:uiPriority w:val="99"/>
    <w:rPr>
      <w:rFonts w:ascii="Times New Roman" w:hAnsi="Times New Roman" w:cs="Arial"/>
      <w:sz w:val="20"/>
      <w:szCs w:val="20"/>
    </w:rPr>
  </w:style>
  <w:style w:type="character" w:customStyle="1" w:styleId="24">
    <w:name w:val="Comment Subject Char"/>
    <w:basedOn w:val="23"/>
    <w:link w:val="12"/>
    <w:uiPriority w:val="99"/>
    <w:rPr>
      <w:rFonts w:ascii="Times New Roman" w:hAnsi="Times New Roman" w:cs="Arial"/>
      <w:b/>
      <w:bCs/>
      <w:sz w:val="20"/>
      <w:szCs w:val="20"/>
    </w:rPr>
  </w:style>
  <w:style w:type="character" w:customStyle="1" w:styleId="25">
    <w:name w:val="Balloon Text Char"/>
    <w:basedOn w:val="6"/>
    <w:link w:val="8"/>
    <w:uiPriority w:val="99"/>
    <w:rPr>
      <w:rFonts w:ascii="Segoe UI" w:hAnsi="Segoe UI" w:cs="Segoe UI"/>
      <w:sz w:val="18"/>
      <w:szCs w:val="18"/>
    </w:rPr>
  </w:style>
  <w:style w:type="character" w:customStyle="1" w:styleId="26">
    <w:name w:val="Header Char_f22b0754-67e9-413c-972d-89771ba51e67"/>
    <w:basedOn w:val="6"/>
    <w:link w:val="14"/>
    <w:uiPriority w:val="99"/>
    <w:rPr>
      <w:rFonts w:ascii="Times New Roman" w:hAnsi="Times New Roman" w:cs="Arial"/>
      <w:sz w:val="24"/>
    </w:rPr>
  </w:style>
  <w:style w:type="character" w:customStyle="1" w:styleId="27">
    <w:name w:val="Footer Char_e86c9d70-c675-439d-9ac1-a889c5185d4d"/>
    <w:basedOn w:val="6"/>
    <w:link w:val="13"/>
    <w:uiPriority w:val="99"/>
    <w:rPr>
      <w:rFonts w:ascii="Times New Roman" w:hAnsi="Times New Roman" w:cs="Arial"/>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F92F91E-D693-4CF4-8924-EBFB0DD1D7F2}">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12</Pages>
  <Words>4345</Words>
  <Characters>26668</Characters>
  <Paragraphs>283</Paragraphs>
  <TotalTime>96</TotalTime>
  <ScaleCrop>false</ScaleCrop>
  <LinksUpToDate>false</LinksUpToDate>
  <CharactersWithSpaces>30842</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2023-07-08T19:43:00Z</dcterms:created>
  <dc:creator>ismail - [2010]</dc:creator>
  <cp:lastModifiedBy>Biang Teknologi</cp:lastModifiedBy>
  <dcterms:modified xsi:type="dcterms:W3CDTF">2023-08-12T03:07:46Z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1209bb0a-9633-3f19-8f16-f0e299a6590a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http://www.zotero.org/styles/vancouver-superscript</vt:lpwstr>
  </property>
  <property fmtid="{D5CDD505-2E9C-101B-9397-08002B2CF9AE}" pid="24" name="Mendeley Recent Style Name 9_1">
    <vt:lpwstr>Vancouver (superscript)</vt:lpwstr>
  </property>
  <property fmtid="{D5CDD505-2E9C-101B-9397-08002B2CF9AE}" pid="25" name="ICV">
    <vt:lpwstr>CB7B06737AFE446A801C1C2513C626B5</vt:lpwstr>
  </property>
  <property fmtid="{D5CDD505-2E9C-101B-9397-08002B2CF9AE}" pid="26" name="KSOProductBuildVer">
    <vt:lpwstr>1033-11.2.0.11537</vt:lpwstr>
  </property>
</Properties>
</file>