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6" w:lineRule="auto"/>
        <w:jc w:val="center"/>
        <w:rPr>
          <w:rFonts w:ascii="Times New Roman" w:hAnsi="Times New Roman" w:cs="Times New Roman"/>
          <w:b/>
          <w:color w:val="000000" w:themeColor="text1"/>
          <w:sz w:val="28"/>
          <w:szCs w:val="28"/>
          <w14:textFill>
            <w14:solidFill>
              <w14:schemeClr w14:val="tx1"/>
            </w14:solidFill>
          </w14:textFill>
        </w:rPr>
      </w:pPr>
      <w:bookmarkStart w:id="0" w:name="_Toc120039985"/>
      <w:bookmarkStart w:id="1" w:name="_Toc120039641"/>
      <w:r>
        <w:rPr>
          <w:rFonts w:ascii="Times New Roman" w:hAnsi="Times New Roman" w:cs="Times New Roman"/>
          <w:b/>
          <w:color w:val="000000" w:themeColor="text1"/>
          <w:sz w:val="28"/>
          <w:szCs w:val="28"/>
          <w14:textFill>
            <w14:solidFill>
              <w14:schemeClr w14:val="tx1"/>
            </w14:solidFill>
          </w14:textFill>
        </w:rPr>
        <w:t xml:space="preserve">UPAYA MENGURANGI NYERI KRONIS PADA </w:t>
      </w:r>
      <w:r>
        <w:rPr>
          <w:rFonts w:ascii="Times New Roman" w:hAnsi="Times New Roman" w:cs="Times New Roman"/>
          <w:b/>
          <w:i/>
          <w:color w:val="000000" w:themeColor="text1"/>
          <w:sz w:val="28"/>
          <w:szCs w:val="28"/>
          <w14:textFill>
            <w14:solidFill>
              <w14:schemeClr w14:val="tx1"/>
            </w14:solidFill>
          </w14:textFill>
        </w:rPr>
        <w:t>GOUT ARTHRITIS</w:t>
      </w:r>
      <w:bookmarkEnd w:id="0"/>
      <w:bookmarkEnd w:id="1"/>
    </w:p>
    <w:p>
      <w:pPr>
        <w:spacing w:line="276" w:lineRule="auto"/>
        <w:jc w:val="center"/>
        <w:rPr>
          <w:rFonts w:ascii="Times New Roman" w:hAnsi="Times New Roman" w:eastAsia="Times New Roman" w:cs="Times New Roman"/>
          <w:b/>
          <w:color w:val="000000" w:themeColor="text1"/>
          <w:sz w:val="28"/>
          <w:szCs w:val="28"/>
          <w:lang w:eastAsia="id-ID"/>
          <w14:textFill>
            <w14:solidFill>
              <w14:schemeClr w14:val="tx1"/>
            </w14:solidFill>
          </w14:textFill>
        </w:rPr>
      </w:pPr>
      <w:r>
        <w:rPr>
          <w:rFonts w:ascii="Times New Roman" w:hAnsi="Times New Roman" w:eastAsia="Times New Roman" w:cs="Times New Roman"/>
          <w:b/>
          <w:color w:val="000000" w:themeColor="text1"/>
          <w:sz w:val="28"/>
          <w:szCs w:val="28"/>
          <w:lang w:eastAsia="id-ID"/>
          <w14:textFill>
            <w14:solidFill>
              <w14:schemeClr w14:val="tx1"/>
            </w14:solidFill>
          </w14:textFill>
        </w:rPr>
        <w:t>DENGAN AIR REBUSAN CENGKEH</w:t>
      </w:r>
    </w:p>
    <w:p>
      <w:pPr>
        <w:spacing w:line="276" w:lineRule="auto"/>
        <w:jc w:val="center"/>
        <w:rPr>
          <w:rFonts w:ascii="Times New Roman" w:hAnsi="Times New Roman" w:eastAsia="Times New Roman" w:cs="Times New Roman"/>
          <w:b/>
          <w:color w:val="000000" w:themeColor="text1"/>
          <w:sz w:val="28"/>
          <w:szCs w:val="28"/>
          <w:lang w:eastAsia="id-ID"/>
          <w14:textFill>
            <w14:solidFill>
              <w14:schemeClr w14:val="tx1"/>
            </w14:solidFill>
          </w14:textFill>
        </w:rPr>
      </w:pPr>
    </w:p>
    <w:p>
      <w:pPr>
        <w:spacing w:line="276" w:lineRule="auto"/>
        <w:jc w:val="both"/>
        <w:rPr>
          <w:rFonts w:ascii="Times New Roman" w:hAnsi="Times New Roman" w:cs="Times New Roman"/>
          <w:bCs/>
          <w:color w:val="000000" w:themeColor="text1"/>
          <w:sz w:val="24"/>
          <w:szCs w:val="24"/>
          <w:lang w:val="en-US" w:eastAsia="id-ID"/>
          <w14:textFill>
            <w14:solidFill>
              <w14:schemeClr w14:val="tx1"/>
            </w14:solidFill>
          </w14:textFill>
        </w:rPr>
      </w:pPr>
      <w:bookmarkStart w:id="2" w:name="_GoBack"/>
      <w:bookmarkEnd w:id="2"/>
    </w:p>
    <w:p>
      <w:pPr>
        <w:spacing w:line="276" w:lineRule="auto"/>
        <w:jc w:val="center"/>
        <w:rPr>
          <w:rFonts w:ascii="Times New Roman" w:hAnsi="Times New Roman" w:cs="Times New Roman"/>
          <w:b/>
          <w:color w:val="000000" w:themeColor="text1"/>
          <w:sz w:val="24"/>
          <w:szCs w:val="24"/>
          <w:lang w:val="en-US" w:eastAsia="id-ID"/>
          <w14:textFill>
            <w14:solidFill>
              <w14:schemeClr w14:val="tx1"/>
            </w14:solidFill>
          </w14:textFill>
        </w:rPr>
      </w:pPr>
      <w:r>
        <w:rPr>
          <w:rFonts w:ascii="Times New Roman" w:hAnsi="Times New Roman" w:cs="Times New Roman"/>
          <w:b/>
          <w:color w:val="000000" w:themeColor="text1"/>
          <w:sz w:val="24"/>
          <w:szCs w:val="24"/>
          <w:lang w:val="en-US" w:eastAsia="id-ID"/>
          <w14:textFill>
            <w14:solidFill>
              <w14:schemeClr w14:val="tx1"/>
            </w14:solidFill>
          </w14:textFill>
        </w:rPr>
        <w:t>ABSTRAK</w:t>
      </w:r>
    </w:p>
    <w:p>
      <w:pPr>
        <w:spacing w:line="276" w:lineRule="auto"/>
        <w:jc w:val="both"/>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color w:val="000000" w:themeColor="text1"/>
          <w:sz w:val="24"/>
          <w:szCs w:val="24"/>
          <w:lang w:val="en-US" w:eastAsia="id-ID"/>
          <w14:textFill>
            <w14:solidFill>
              <w14:schemeClr w14:val="tx1"/>
            </w14:solidFill>
          </w14:textFill>
        </w:rPr>
        <w:t xml:space="preserve">Latar Belakang: </w:t>
      </w:r>
      <w:r>
        <w:rPr>
          <w:rFonts w:ascii="Times New Roman" w:hAnsi="Times New Roman" w:cs="Times New Roman"/>
          <w:bCs/>
          <w:i/>
          <w:iCs/>
          <w:color w:val="000000" w:themeColor="text1"/>
          <w:sz w:val="24"/>
          <w:szCs w:val="24"/>
          <w:lang w:val="en-US" w:eastAsia="id-ID"/>
          <w14:textFill>
            <w14:solidFill>
              <w14:schemeClr w14:val="tx1"/>
            </w14:solidFill>
          </w14:textFill>
        </w:rPr>
        <w:t>Gout arthritis</w:t>
      </w:r>
      <w:r>
        <w:rPr>
          <w:rFonts w:ascii="Times New Roman" w:hAnsi="Times New Roman" w:cs="Times New Roman"/>
          <w:bCs/>
          <w:color w:val="000000" w:themeColor="text1"/>
          <w:sz w:val="24"/>
          <w:szCs w:val="24"/>
          <w:lang w:val="en-US" w:eastAsia="id-ID"/>
          <w14:textFill>
            <w14:solidFill>
              <w14:schemeClr w14:val="tx1"/>
            </w14:solidFill>
          </w14:textFill>
        </w:rPr>
        <w:t xml:space="preserve"> (GA) terjadi karena peningkatan kadar asam urat dalam darah akibat metabolisme purin dari makanan yang dikonsumsi. Purin merupakan zat yang terdapat dalam semua bahan makanan yang berasal dari tubuh makhluk hidup. Pada keadaan normal, tubuh akan mengeluarkan GA melalui kotoran atau urin.</w:t>
      </w:r>
      <w:r>
        <w:rPr>
          <w:rFonts w:ascii="Times New Roman" w:hAnsi="Times New Roman" w:cs="Times New Roman"/>
          <w:b/>
          <w:color w:val="000000" w:themeColor="text1"/>
          <w:sz w:val="24"/>
          <w:szCs w:val="24"/>
          <w:lang w:val="en-US" w:eastAsia="id-ID"/>
          <w14:textFill>
            <w14:solidFill>
              <w14:schemeClr w14:val="tx1"/>
            </w14:solidFill>
          </w14:textFill>
        </w:rPr>
        <w:t xml:space="preserve"> </w:t>
      </w:r>
      <w:r>
        <w:rPr>
          <w:rFonts w:ascii="Times New Roman" w:hAnsi="Times New Roman" w:cs="Times New Roman"/>
          <w:sz w:val="24"/>
          <w:szCs w:val="24"/>
          <w:lang w:val="en-US"/>
        </w:rPr>
        <w:t xml:space="preserve">(Kemenkes, 2021), GA adalah penyakit sendi yang disebabkan oleh peningkatan kadar asam urat dalam darah. Kadar asam urat yang melebihi batas normal menyebabkan penumpukan asam urat di persendian dan organ tubuh lainnya, yang menyebabkan gejala seperti nyeri, sakit, dan peradangan pada sendi. (Haryani and Misniarti 2020). </w:t>
      </w:r>
      <w:r>
        <w:rPr>
          <w:rFonts w:ascii="Times New Roman" w:hAnsi="Times New Roman" w:cs="Times New Roman"/>
          <w:b/>
          <w:bCs/>
          <w:sz w:val="24"/>
          <w:szCs w:val="24"/>
          <w:lang w:val="en-US"/>
        </w:rPr>
        <w:t>Tujuan</w:t>
      </w:r>
      <w:r>
        <w:rPr>
          <w:rFonts w:ascii="Times New Roman" w:hAnsi="Times New Roman" w:cs="Times New Roman"/>
          <w:sz w:val="24"/>
          <w:szCs w:val="24"/>
          <w:lang w:val="en-US"/>
        </w:rPr>
        <w:t xml:space="preserve">: </w:t>
      </w:r>
      <w:r>
        <w:rPr>
          <w:rFonts w:ascii="Times New Roman" w:hAnsi="Times New Roman" w:cs="Times New Roman"/>
          <w:color w:val="000000" w:themeColor="text1"/>
          <w:sz w:val="24"/>
          <w:szCs w:val="24"/>
          <w:lang w:val="en-US"/>
          <w14:textFill>
            <w14:solidFill>
              <w14:schemeClr w14:val="tx1"/>
            </w14:solidFill>
          </w14:textFill>
        </w:rPr>
        <w:t xml:space="preserve">Penelitian ini untuk menganalisis efek pemberian air rebusan cengkeh terhadap nyeri kronis pada pasien dengan GA. Penelitian ini akan membandingkan tingkat nyeri kronis sebelum dan setelah </w:t>
      </w:r>
      <w:r>
        <w:rPr>
          <w:rFonts w:ascii="Times New Roman" w:hAnsi="Times New Roman" w:cs="Times New Roman"/>
          <w:b/>
          <w:bCs/>
          <w:color w:val="000000" w:themeColor="text1"/>
          <w:sz w:val="24"/>
          <w:szCs w:val="24"/>
          <w:lang w:val="en-US"/>
          <w14:textFill>
            <w14:solidFill>
              <w14:schemeClr w14:val="tx1"/>
            </w14:solidFill>
          </w14:textFill>
        </w:rPr>
        <w:t>Metode</w:t>
      </w:r>
      <w:r>
        <w:rPr>
          <w:rFonts w:ascii="Times New Roman" w:hAnsi="Times New Roman" w:cs="Times New Roman"/>
          <w:color w:val="000000" w:themeColor="text1"/>
          <w:sz w:val="24"/>
          <w:szCs w:val="24"/>
          <w:lang w:val="en-US"/>
          <w14:textFill>
            <w14:solidFill>
              <w14:schemeClr w14:val="tx1"/>
            </w14:solidFill>
          </w14:textFill>
        </w:rPr>
        <w:t>: Penelitian ini menggunakan 2 responden GA yang mengalami nyeri kronis dengan skala nyeri sedang sebesar 4-6. Data dikumpulkan melalui wawancara dan observasi untuk mendapatkan respons nyeri. Penulis melakukan studi kasus dengan memantau kasus-kasus di Puskesmas Binaan Jumo Temanggung. Selanjutnya, penulis mendekati klien dan meminta persetujuan dari pasien untuk menjadi subyek dalam studi kasus.</w:t>
      </w:r>
      <w:r>
        <w:rPr>
          <w:rFonts w:ascii="Times New Roman" w:hAnsi="Times New Roman" w:cs="Times New Roman"/>
          <w:b/>
          <w:bCs/>
          <w:color w:val="000000" w:themeColor="text1"/>
          <w:sz w:val="24"/>
          <w:szCs w:val="24"/>
          <w:lang w:val="en-US"/>
          <w14:textFill>
            <w14:solidFill>
              <w14:schemeClr w14:val="tx1"/>
            </w14:solidFill>
          </w14:textFill>
        </w:rPr>
        <w:t>Hasil : . Kesimpulan : .</w:t>
      </w:r>
    </w:p>
    <w:p>
      <w:pPr>
        <w:spacing w:line="276" w:lineRule="auto"/>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 xml:space="preserve">Kata Kunci : </w:t>
      </w:r>
      <w:r>
        <w:rPr>
          <w:rFonts w:ascii="Times New Roman" w:hAnsi="Times New Roman" w:cs="Times New Roman"/>
          <w:color w:val="000000" w:themeColor="text1"/>
          <w:sz w:val="24"/>
          <w:szCs w:val="24"/>
          <w:lang w:val="en-US"/>
          <w14:textFill>
            <w14:solidFill>
              <w14:schemeClr w14:val="tx1"/>
            </w14:solidFill>
          </w14:textFill>
        </w:rPr>
        <w:t xml:space="preserve">Air Rebusan Cengkeh, </w:t>
      </w:r>
      <w:r>
        <w:rPr>
          <w:rFonts w:ascii="Times New Roman" w:hAnsi="Times New Roman" w:cs="Times New Roman"/>
          <w:i/>
          <w:iCs/>
          <w:color w:val="000000" w:themeColor="text1"/>
          <w:sz w:val="24"/>
          <w:szCs w:val="24"/>
          <w:lang w:val="en-US"/>
          <w14:textFill>
            <w14:solidFill>
              <w14:schemeClr w14:val="tx1"/>
            </w14:solidFill>
          </w14:textFill>
        </w:rPr>
        <w:t>Gout arthristis</w:t>
      </w:r>
      <w:r>
        <w:rPr>
          <w:rFonts w:ascii="Times New Roman" w:hAnsi="Times New Roman" w:cs="Times New Roman"/>
          <w:color w:val="000000" w:themeColor="text1"/>
          <w:sz w:val="24"/>
          <w:szCs w:val="24"/>
          <w:lang w:val="en-US"/>
          <w14:textFill>
            <w14:solidFill>
              <w14:schemeClr w14:val="tx1"/>
            </w14:solidFill>
          </w14:textFill>
        </w:rPr>
        <w:t>, Nyeri kronis.</w:t>
      </w:r>
    </w:p>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ABSTRACT</w:t>
      </w:r>
    </w:p>
    <w:p>
      <w:pPr>
        <w:spacing w:line="276" w:lineRule="auto"/>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Background: Gout arthritis (GA) is a result of purine metabolism derived from consumed food. Purine is a substance found in every living organism's food. In a normal condition, GA is eliminated from the body through feces or urine (Ministry of Health, 2021). GA is a joint disease caused by high levels of uric acid in the blood. Elevated levels of uric acid beyond the normal range lead to the accumulation of uric acid in the joints and other organs of the body. This uric acid buildup causes joint pain, inflammation, and swelling (Haryani and Misniarti, 2020). Objective: This study aims to analyze chronic pain in GA before and after the administration of boiled cloves. Method: In this study, two patients with Gout arthritis experiencing chronic pain with a moderate scale of 4-6 were selected as subjects. Data were collected through interviews and observational methods to obtain information on pain in Gout arthritis patients. The researcher conducted a case study by monitoring cases at the Jumo Temanggung Community Health Center. The researcher then approached the clients and obtained informed consent to enroll them as subjects in the case study. Results: Conclusion:</w:t>
      </w:r>
    </w:p>
    <w:p>
      <w:pPr>
        <w:spacing w:line="276" w:lineRule="auto"/>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Keywords: Boiled Cloves, Gout arthritis, Chronic pain.</w:t>
      </w:r>
    </w:p>
    <w:p>
      <w:pPr>
        <w:spacing w:line="276" w:lineRule="auto"/>
        <w:jc w:val="both"/>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PENDAHULUAN</w:t>
      </w:r>
    </w:p>
    <w:p>
      <w:pPr>
        <w:spacing w:line="276" w:lineRule="auto"/>
        <w:jc w:val="both"/>
        <w:rPr>
          <w:rFonts w:ascii="Times New Roman" w:hAnsi="Times New Roman" w:cs="Times New Roman"/>
          <w:sz w:val="24"/>
          <w:szCs w:val="24"/>
          <w:lang w:val="en-US"/>
        </w:rPr>
      </w:pPr>
      <w:r>
        <w:rPr>
          <w:rFonts w:ascii="Times New Roman" w:hAnsi="Times New Roman" w:cs="Times New Roman"/>
          <w:color w:val="000000" w:themeColor="text1"/>
          <w:sz w:val="24"/>
          <w:szCs w:val="24"/>
          <w:lang w:val="en-US"/>
          <w14:textFill>
            <w14:solidFill>
              <w14:schemeClr w14:val="tx1"/>
            </w14:solidFill>
          </w14:textFill>
        </w:rPr>
        <w:tab/>
      </w:r>
      <w:r>
        <w:rPr>
          <w:rFonts w:ascii="Times New Roman" w:hAnsi="Times New Roman" w:cs="Times New Roman"/>
          <w:sz w:val="24"/>
          <w:szCs w:val="24"/>
        </w:rPr>
        <w:t xml:space="preserve">Berdasarkan data WHO (2017), prevalensi </w:t>
      </w:r>
      <w:r>
        <w:rPr>
          <w:rFonts w:ascii="Times New Roman" w:hAnsi="Times New Roman" w:cs="Times New Roman"/>
          <w:i/>
          <w:sz w:val="24"/>
          <w:szCs w:val="24"/>
        </w:rPr>
        <w:t>gout arthritis</w:t>
      </w:r>
      <w:r>
        <w:rPr>
          <w:rFonts w:ascii="Times New Roman" w:hAnsi="Times New Roman" w:cs="Times New Roman"/>
          <w:sz w:val="24"/>
          <w:szCs w:val="24"/>
        </w:rPr>
        <w:t xml:space="preserve"> di dunia sebanyak 34,2%. Hasil RISKESDAS (2018) tercatat bahwa penyakit GA di Indonesia (11,9 %). </w:t>
      </w:r>
      <w:r>
        <w:rPr>
          <w:rFonts w:ascii="Times New Roman" w:hAnsi="Times New Roman" w:cs="Times New Roman"/>
          <w:sz w:val="24"/>
          <w:szCs w:val="24"/>
          <w:lang w:val="en-US"/>
        </w:rPr>
        <w:t>D</w:t>
      </w:r>
      <w:r>
        <w:rPr>
          <w:rFonts w:ascii="Times New Roman" w:hAnsi="Times New Roman" w:cs="Times New Roman"/>
          <w:sz w:val="24"/>
          <w:szCs w:val="24"/>
        </w:rPr>
        <w:t>ilihat dari karakteristik umur prevalensi tertinggi pada</w:t>
      </w:r>
      <w:r>
        <w:rPr>
          <w:rFonts w:ascii="Times New Roman" w:hAnsi="Times New Roman" w:cs="Times New Roman"/>
          <w:sz w:val="24"/>
          <w:szCs w:val="24"/>
          <w:lang w:val="en-US"/>
        </w:rPr>
        <w:t xml:space="preserve"> sekitar umur </w:t>
      </w:r>
      <w:r>
        <w:rPr>
          <w:rFonts w:ascii="Times New Roman" w:hAnsi="Times New Roman" w:cs="Times New Roman"/>
          <w:sz w:val="24"/>
          <w:szCs w:val="24"/>
        </w:rPr>
        <w:t xml:space="preserve">75 tahun (54,8%). Penderita wanita lebih banyak (8,46 %) dibandingkan dengan pria (6.13 %). Prevalensi GA di Jawa Tengah kira-kira sekitar 2,6 - 47,2% yang bervariasi pada berbagai populasi (Riskesdas, 2018). Menurut Dinas kesehatan Kabupaten Temanggung pada Tahun </w:t>
      </w:r>
      <w:r>
        <w:rPr>
          <w:rFonts w:ascii="Times New Roman" w:hAnsi="Times New Roman" w:cs="Times New Roman"/>
          <w:sz w:val="24"/>
          <w:szCs w:val="24"/>
          <w:lang w:val="en-US"/>
        </w:rPr>
        <w:t xml:space="preserve">2020 </w:t>
      </w:r>
      <w:r>
        <w:rPr>
          <w:rFonts w:ascii="Times New Roman" w:hAnsi="Times New Roman" w:cs="Times New Roman"/>
          <w:sz w:val="24"/>
          <w:szCs w:val="24"/>
        </w:rPr>
        <w:t>Prevalensi masyarakat Temanggung terdapat</w:t>
      </w:r>
      <w:r>
        <w:rPr>
          <w:rFonts w:ascii="Times New Roman" w:hAnsi="Times New Roman" w:cs="Times New Roman"/>
          <w:sz w:val="24"/>
          <w:szCs w:val="24"/>
          <w:lang w:val="en-US"/>
        </w:rPr>
        <w:t xml:space="preserve"> 181</w:t>
      </w:r>
      <w:r>
        <w:rPr>
          <w:rFonts w:ascii="Times New Roman" w:hAnsi="Times New Roman" w:cs="Times New Roman"/>
          <w:sz w:val="24"/>
          <w:szCs w:val="24"/>
        </w:rPr>
        <w:t xml:space="preserve"> orang</w:t>
      </w:r>
      <w:r>
        <w:rPr>
          <w:rFonts w:ascii="Times New Roman" w:hAnsi="Times New Roman" w:cs="Times New Roman"/>
          <w:sz w:val="24"/>
          <w:szCs w:val="24"/>
          <w:lang w:val="en-US"/>
        </w:rPr>
        <w:t>, pada tahun 2021 terdapat 272 0rang, dan pada tahun 2022 terdapat 337</w:t>
      </w:r>
      <w:r>
        <w:rPr>
          <w:rFonts w:ascii="Times New Roman" w:hAnsi="Times New Roman" w:cs="Times New Roman"/>
          <w:sz w:val="24"/>
          <w:szCs w:val="24"/>
        </w:rPr>
        <w:t xml:space="preserve"> yang mengalami</w:t>
      </w:r>
      <w:r>
        <w:rPr>
          <w:rFonts w:ascii="Times New Roman" w:hAnsi="Times New Roman" w:cs="Times New Roman"/>
          <w:sz w:val="24"/>
          <w:szCs w:val="24"/>
          <w:lang w:val="en-US"/>
        </w:rPr>
        <w:t xml:space="preserve"> </w:t>
      </w:r>
      <w:r>
        <w:rPr>
          <w:rFonts w:ascii="Times New Roman" w:hAnsi="Times New Roman" w:cs="Times New Roman"/>
          <w:iCs/>
          <w:sz w:val="24"/>
          <w:szCs w:val="24"/>
          <w:lang w:val="en-US"/>
        </w:rPr>
        <w:t xml:space="preserve">GA. </w:t>
      </w:r>
      <w:r>
        <w:rPr>
          <w:rFonts w:ascii="Times New Roman" w:hAnsi="Times New Roman" w:cs="Times New Roman"/>
          <w:sz w:val="24"/>
          <w:szCs w:val="24"/>
          <w:lang w:val="en-US"/>
        </w:rPr>
        <w:t>Jadi kesimpulan dari beberapa tahun terakhir penderita penyakit GA meningkat.</w:t>
      </w:r>
    </w:p>
    <w:p>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Kadar asam urat dalam tubuh dipengaruhi oleh beberapa faktor, seperti pola makan dan gaya hidup. Pola makan meliputi frekuensi makan, jenis makanan, dan jumlah makanan. Gaya hidup merupakan pola tingkah laku sehari hari yang patut dijalankan oleh suatu kelompok sosial ditengah masyarakat meliputi aktivitas fisik, kebiasaan istirahat, dan kebiasaan merokok (Ridhoputrie et al., 2019).</w:t>
      </w:r>
    </w:p>
    <w:p>
      <w:pPr>
        <w:spacing w:before="24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 xml:space="preserve">Ada 3 tahapan dalam terapi penyakit ini Mengatasi serangan akut, Mengurangi kadar asam urat untuk mencegah penimbunan kristal GA pada jaringan, terutama persendian. Terapi pencegahan menggunakan terapi GA (Nurarif dan Kusuma, 2016). </w:t>
      </w:r>
    </w:p>
    <w:p>
      <w:pPr>
        <w:spacing w:before="24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Setelah dilakukan penelitian ini diharapkan mampu menganalisa nyeri kronis pada GA sebelum dan sesudah pemberian air rebusan cengkeh.</w:t>
      </w:r>
    </w:p>
    <w:p>
      <w:pPr>
        <w:spacing w:before="240" w:line="276"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MERODE PENELITIAN</w:t>
      </w:r>
    </w:p>
    <w:p>
      <w:pPr>
        <w:spacing w:before="240" w:line="276" w:lineRule="auto"/>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b/>
          <w:bCs/>
          <w:sz w:val="24"/>
          <w:szCs w:val="24"/>
          <w:lang w:val="en-US"/>
        </w:rPr>
        <w:tab/>
      </w:r>
      <w:r>
        <w:rPr>
          <w:rFonts w:ascii="Times New Roman" w:hAnsi="Times New Roman" w:cs="Times New Roman"/>
          <w:color w:val="000000" w:themeColor="text1"/>
          <w:sz w:val="24"/>
          <w:szCs w:val="24"/>
          <w14:textFill>
            <w14:solidFill>
              <w14:schemeClr w14:val="tx1"/>
            </w14:solidFill>
          </w14:textFill>
        </w:rPr>
        <w:t xml:space="preserve">Dalam penelitian ini subyek yang digunakan adalah </w:t>
      </w:r>
      <w:r>
        <w:rPr>
          <w:rFonts w:ascii="Times New Roman" w:hAnsi="Times New Roman" w:cs="Times New Roman"/>
          <w:color w:val="000000" w:themeColor="text1"/>
          <w:sz w:val="24"/>
          <w:szCs w:val="24"/>
          <w:lang w:val="en-US"/>
          <w14:textFill>
            <w14:solidFill>
              <w14:schemeClr w14:val="tx1"/>
            </w14:solidFill>
          </w14:textFill>
        </w:rPr>
        <w:t xml:space="preserve">2 </w:t>
      </w:r>
      <w:r>
        <w:rPr>
          <w:rFonts w:ascii="Times New Roman" w:hAnsi="Times New Roman" w:cs="Times New Roman"/>
          <w:color w:val="000000" w:themeColor="text1"/>
          <w:sz w:val="24"/>
          <w:szCs w:val="24"/>
          <w14:textFill>
            <w14:solidFill>
              <w14:schemeClr w14:val="tx1"/>
            </w14:solidFill>
          </w14:textFill>
        </w:rPr>
        <w:t xml:space="preserve">pasien </w:t>
      </w:r>
      <w:r>
        <w:rPr>
          <w:rFonts w:ascii="Times New Roman" w:hAnsi="Times New Roman" w:cs="Times New Roman"/>
          <w:i/>
          <w:color w:val="000000" w:themeColor="text1"/>
          <w:sz w:val="24"/>
          <w:szCs w:val="24"/>
          <w14:textFill>
            <w14:solidFill>
              <w14:schemeClr w14:val="tx1"/>
            </w14:solidFill>
          </w14:textFill>
        </w:rPr>
        <w:t>Gout arthristis</w:t>
      </w:r>
      <w:r>
        <w:rPr>
          <w:rFonts w:ascii="Times New Roman" w:hAnsi="Times New Roman" w:cs="Times New Roman"/>
          <w:color w:val="000000" w:themeColor="text1"/>
          <w:sz w:val="24"/>
          <w:szCs w:val="24"/>
          <w14:textFill>
            <w14:solidFill>
              <w14:schemeClr w14:val="tx1"/>
            </w14:solidFill>
          </w14:textFill>
        </w:rPr>
        <w:t xml:space="preserve"> yang mengalami masalah nyeri kronis dengan skala nyeri kronis sedang 4-6</w:t>
      </w:r>
      <w:r>
        <w:rPr>
          <w:rFonts w:ascii="Times New Roman" w:hAnsi="Times New Roman" w:cs="Times New Roman"/>
          <w:color w:val="000000" w:themeColor="text1"/>
          <w:sz w:val="24"/>
          <w:szCs w:val="24"/>
          <w:lang w:val="en-US"/>
          <w14:textFill>
            <w14:solidFill>
              <w14:schemeClr w14:val="tx1"/>
            </w14:solidFill>
          </w14:textFill>
        </w:rPr>
        <w:t xml:space="preserve">, Kriteria inklusi adalah Subyek studi kasus mempunyai penyakit Gout arthristis yang mengalami masalah nyeri kronis dengan skala nyeri kronis sedang 4-6, dan memiliki kadar gout arthritis 6-10mg\dl, Subyek studi kasus yang berumur kurang lebih 30-60 tahun, Subyek studi kasus yang tidak sedang dalam pengobatan, Subyek studi yang kooperatif, Bersedia menjadi subyek studi, </w:t>
      </w:r>
      <w:r>
        <w:rPr>
          <w:rFonts w:ascii="Times New Roman" w:hAnsi="Times New Roman" w:cs="Times New Roman"/>
          <w:color w:val="000000" w:themeColor="text1"/>
          <w:sz w:val="24"/>
          <w:szCs w:val="24"/>
          <w14:textFill>
            <w14:solidFill>
              <w14:schemeClr w14:val="tx1"/>
            </w14:solidFill>
          </w14:textFill>
        </w:rPr>
        <w:t xml:space="preserve">metode yang digunakan adalah metode wawancara dan metode observasi untuk mendapatkan responden nyeri pada pasien </w:t>
      </w:r>
      <w:r>
        <w:rPr>
          <w:rFonts w:ascii="Times New Roman" w:hAnsi="Times New Roman" w:cs="Times New Roman"/>
          <w:i/>
          <w:color w:val="000000" w:themeColor="text1"/>
          <w:sz w:val="24"/>
          <w:szCs w:val="24"/>
          <w14:textFill>
            <w14:solidFill>
              <w14:schemeClr w14:val="tx1"/>
            </w14:solidFill>
          </w14:textFill>
        </w:rPr>
        <w:t xml:space="preserve">gout arthritsi. </w:t>
      </w:r>
      <w:r>
        <w:rPr>
          <w:rFonts w:ascii="Times New Roman" w:hAnsi="Times New Roman" w:cs="Times New Roman"/>
          <w:color w:val="000000" w:themeColor="text1"/>
          <w:sz w:val="24"/>
          <w:szCs w:val="24"/>
          <w14:textFill>
            <w14:solidFill>
              <w14:schemeClr w14:val="tx1"/>
            </w14:solidFill>
          </w14:textFill>
        </w:rPr>
        <w:t xml:space="preserve">Penulis melakukan studi kasus dengan memantau kasus yang ada di Puskesmas Binaan </w:t>
      </w:r>
      <w:r>
        <w:rPr>
          <w:rFonts w:ascii="Times New Roman" w:hAnsi="Times New Roman" w:cs="Times New Roman"/>
          <w:color w:val="000000" w:themeColor="text1"/>
          <w:sz w:val="24"/>
          <w:szCs w:val="24"/>
          <w:lang w:val="en-US"/>
          <w14:textFill>
            <w14:solidFill>
              <w14:schemeClr w14:val="tx1"/>
            </w14:solidFill>
          </w14:textFill>
        </w:rPr>
        <w:t xml:space="preserve">Jumo </w:t>
      </w:r>
      <w:r>
        <w:rPr>
          <w:rFonts w:ascii="Times New Roman" w:hAnsi="Times New Roman" w:cs="Times New Roman"/>
          <w:color w:val="000000" w:themeColor="text1"/>
          <w:sz w:val="24"/>
          <w:szCs w:val="24"/>
          <w14:textFill>
            <w14:solidFill>
              <w14:schemeClr w14:val="tx1"/>
            </w14:solidFill>
          </w14:textFill>
        </w:rPr>
        <w:t xml:space="preserve">Temanggung. Selanjutnya penulis melakukan pendekatan klien dan mengajukan </w:t>
      </w:r>
      <w:r>
        <w:rPr>
          <w:rFonts w:ascii="Times New Roman" w:hAnsi="Times New Roman" w:cs="Times New Roman"/>
          <w:i/>
          <w:color w:val="000000" w:themeColor="text1"/>
          <w:sz w:val="24"/>
          <w:szCs w:val="24"/>
          <w14:textFill>
            <w14:solidFill>
              <w14:schemeClr w14:val="tx1"/>
            </w14:solidFill>
          </w14:textFill>
        </w:rPr>
        <w:t xml:space="preserve">inform consent </w:t>
      </w:r>
      <w:r>
        <w:rPr>
          <w:rFonts w:ascii="Times New Roman" w:hAnsi="Times New Roman" w:cs="Times New Roman"/>
          <w:color w:val="000000" w:themeColor="text1"/>
          <w:sz w:val="24"/>
          <w:szCs w:val="24"/>
          <w14:textFill>
            <w14:solidFill>
              <w14:schemeClr w14:val="tx1"/>
            </w14:solidFill>
          </w14:textFill>
        </w:rPr>
        <w:t>untuk meminta persetujuan pasien untuk menjadi subyek dalam studi kasus</w:t>
      </w:r>
      <w:r>
        <w:rPr>
          <w:rFonts w:ascii="Times New Roman" w:hAnsi="Times New Roman" w:cs="Times New Roman"/>
          <w:color w:val="000000" w:themeColor="text1"/>
          <w:sz w:val="24"/>
          <w:szCs w:val="24"/>
          <w:lang w:val="en-US"/>
          <w14:textFill>
            <w14:solidFill>
              <w14:schemeClr w14:val="tx1"/>
            </w14:solidFill>
          </w14:textFill>
        </w:rPr>
        <w:t>.</w:t>
      </w:r>
    </w:p>
    <w:p>
      <w:pPr>
        <w:spacing w:line="276" w:lineRule="auto"/>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Adapun SOP pembuatan air rebusan cengkeh yaitu 1. </w:t>
      </w:r>
      <w:r>
        <w:rPr>
          <w:rFonts w:ascii="Times New Roman" w:hAnsi="Times New Roman" w:cs="Times New Roman"/>
          <w:color w:val="000000" w:themeColor="text1"/>
          <w:sz w:val="24"/>
          <w:szCs w:val="24"/>
          <w14:textFill>
            <w14:solidFill>
              <w14:schemeClr w14:val="tx1"/>
            </w14:solidFill>
          </w14:textFill>
        </w:rPr>
        <w:t xml:space="preserve">Tuangkan air 400cc dan ditunggu sampai mendidih </w:t>
      </w:r>
      <w:r>
        <w:rPr>
          <w:rFonts w:ascii="Times New Roman" w:hAnsi="Times New Roman" w:cs="Times New Roman"/>
          <w:color w:val="000000" w:themeColor="text1"/>
          <w:sz w:val="24"/>
          <w:szCs w:val="24"/>
          <w:lang w:val="en-US"/>
          <w14:textFill>
            <w14:solidFill>
              <w14:schemeClr w14:val="tx1"/>
            </w14:solidFill>
          </w14:textFill>
        </w:rPr>
        <w:t xml:space="preserve">2. </w:t>
      </w:r>
      <w:r>
        <w:rPr>
          <w:rFonts w:ascii="Times New Roman" w:hAnsi="Times New Roman" w:cs="Times New Roman"/>
          <w:color w:val="000000" w:themeColor="text1"/>
          <w:sz w:val="24"/>
          <w:szCs w:val="24"/>
          <w14:textFill>
            <w14:solidFill>
              <w14:schemeClr w14:val="tx1"/>
            </w14:solidFill>
          </w14:textFill>
        </w:rPr>
        <w:t>Masukkan cengkeh</w:t>
      </w:r>
      <w:r>
        <w:rPr>
          <w:rFonts w:ascii="Times New Roman" w:hAnsi="Times New Roman" w:cs="Times New Roman"/>
          <w:color w:val="000000" w:themeColor="text1"/>
          <w:sz w:val="24"/>
          <w:szCs w:val="24"/>
          <w:lang w:val="en-US"/>
          <w14:textFill>
            <w14:solidFill>
              <w14:schemeClr w14:val="tx1"/>
            </w14:solidFill>
          </w14:textFill>
        </w:rPr>
        <w:t xml:space="preserve"> 1-5 gram</w:t>
      </w:r>
      <w:r>
        <w:rPr>
          <w:rFonts w:ascii="Times New Roman" w:hAnsi="Times New Roman" w:cs="Times New Roman"/>
          <w:color w:val="000000" w:themeColor="text1"/>
          <w:sz w:val="24"/>
          <w:szCs w:val="24"/>
          <w14:textFill>
            <w14:solidFill>
              <w14:schemeClr w14:val="tx1"/>
            </w14:solidFill>
          </w14:textFill>
        </w:rPr>
        <w:t xml:space="preserve"> ke dalam rebusan air </w:t>
      </w:r>
      <w:r>
        <w:rPr>
          <w:rFonts w:ascii="Times New Roman" w:hAnsi="Times New Roman" w:cs="Times New Roman"/>
          <w:color w:val="000000" w:themeColor="text1"/>
          <w:sz w:val="24"/>
          <w:szCs w:val="24"/>
          <w:lang w:val="en-US"/>
          <w14:textFill>
            <w14:solidFill>
              <w14:schemeClr w14:val="tx1"/>
            </w14:solidFill>
          </w14:textFill>
        </w:rPr>
        <w:t xml:space="preserve">3. </w:t>
      </w:r>
      <w:r>
        <w:rPr>
          <w:rFonts w:ascii="Times New Roman" w:hAnsi="Times New Roman" w:cs="Times New Roman"/>
          <w:color w:val="000000" w:themeColor="text1"/>
          <w:sz w:val="24"/>
          <w:szCs w:val="24"/>
          <w14:textFill>
            <w14:solidFill>
              <w14:schemeClr w14:val="tx1"/>
            </w14:solidFill>
          </w14:textFill>
        </w:rPr>
        <w:t xml:space="preserve">Tunggu kurang lebih 15 menit hingga  air tersisa 200cc </w:t>
      </w:r>
      <w:r>
        <w:rPr>
          <w:rFonts w:ascii="Times New Roman" w:hAnsi="Times New Roman" w:cs="Times New Roman"/>
          <w:color w:val="000000" w:themeColor="text1"/>
          <w:sz w:val="24"/>
          <w:szCs w:val="24"/>
          <w:lang w:val="en-US"/>
          <w14:textFill>
            <w14:solidFill>
              <w14:schemeClr w14:val="tx1"/>
            </w14:solidFill>
          </w14:textFill>
        </w:rPr>
        <w:t xml:space="preserve">4. </w:t>
      </w:r>
      <w:r>
        <w:rPr>
          <w:rFonts w:ascii="Times New Roman" w:hAnsi="Times New Roman" w:cs="Times New Roman"/>
          <w:color w:val="000000" w:themeColor="text1"/>
          <w:sz w:val="24"/>
          <w:szCs w:val="24"/>
          <w14:textFill>
            <w14:solidFill>
              <w14:schemeClr w14:val="tx1"/>
            </w14:solidFill>
          </w14:textFill>
        </w:rPr>
        <w:t>Tuangkan air rebusan cengkeh ke gelas</w:t>
      </w:r>
      <w:r>
        <w:rPr>
          <w:rFonts w:ascii="Times New Roman" w:hAnsi="Times New Roman" w:cs="Times New Roman"/>
          <w:color w:val="000000" w:themeColor="text1"/>
          <w:sz w:val="24"/>
          <w:szCs w:val="24"/>
          <w:lang w:val="en-US"/>
          <w14:textFill>
            <w14:solidFill>
              <w14:schemeClr w14:val="tx1"/>
            </w14:solidFill>
          </w14:textFill>
        </w:rPr>
        <w:t xml:space="preserve"> 5. </w:t>
      </w:r>
      <w:r>
        <w:rPr>
          <w:rFonts w:ascii="Times New Roman" w:hAnsi="Times New Roman" w:cs="Times New Roman"/>
          <w:color w:val="000000" w:themeColor="text1"/>
          <w:sz w:val="24"/>
          <w:szCs w:val="24"/>
          <w14:textFill>
            <w14:solidFill>
              <w14:schemeClr w14:val="tx1"/>
            </w14:solidFill>
          </w14:textFill>
        </w:rPr>
        <w:t xml:space="preserve">Tambah gula sesuai selera </w:t>
      </w:r>
      <w:r>
        <w:rPr>
          <w:rFonts w:ascii="Times New Roman" w:hAnsi="Times New Roman" w:cs="Times New Roman"/>
          <w:color w:val="000000" w:themeColor="text1"/>
          <w:sz w:val="24"/>
          <w:szCs w:val="24"/>
          <w:lang w:val="en-US"/>
          <w14:textFill>
            <w14:solidFill>
              <w14:schemeClr w14:val="tx1"/>
            </w14:solidFill>
          </w14:textFill>
        </w:rPr>
        <w:t xml:space="preserve">6. </w:t>
      </w:r>
      <w:r>
        <w:rPr>
          <w:rFonts w:ascii="Times New Roman" w:hAnsi="Times New Roman" w:cs="Times New Roman"/>
          <w:color w:val="000000" w:themeColor="text1"/>
          <w:sz w:val="24"/>
          <w:szCs w:val="24"/>
          <w14:textFill>
            <w14:solidFill>
              <w14:schemeClr w14:val="tx1"/>
            </w14:solidFill>
          </w14:textFill>
        </w:rPr>
        <w:t xml:space="preserve">Minum air rebusan cengkeh setiap pagi hari selama </w:t>
      </w:r>
      <w:r>
        <w:rPr>
          <w:rFonts w:ascii="Times New Roman" w:hAnsi="Times New Roman" w:cs="Times New Roman"/>
          <w:color w:val="000000" w:themeColor="text1"/>
          <w:sz w:val="24"/>
          <w:szCs w:val="24"/>
          <w:lang w:val="en-US"/>
          <w14:textFill>
            <w14:solidFill>
              <w14:schemeClr w14:val="tx1"/>
            </w14:solidFill>
          </w14:textFill>
        </w:rPr>
        <w:t>3</w:t>
      </w:r>
      <w:r>
        <w:rPr>
          <w:rFonts w:ascii="Times New Roman" w:hAnsi="Times New Roman" w:cs="Times New Roman"/>
          <w:color w:val="000000" w:themeColor="text1"/>
          <w:sz w:val="24"/>
          <w:szCs w:val="24"/>
          <w14:textFill>
            <w14:solidFill>
              <w14:schemeClr w14:val="tx1"/>
            </w14:solidFill>
          </w14:textFill>
        </w:rPr>
        <w:t xml:space="preserve"> hari</w:t>
      </w: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Hasriyanti, dkk, 2022)</w:t>
      </w:r>
      <w:r>
        <w:rPr>
          <w:rFonts w:ascii="Times New Roman" w:hAnsi="Times New Roman" w:cs="Times New Roman"/>
          <w:color w:val="000000" w:themeColor="text1"/>
          <w:sz w:val="24"/>
          <w:szCs w:val="24"/>
          <w:lang w:val="en-US"/>
          <w14:textFill>
            <w14:solidFill>
              <w14:schemeClr w14:val="tx1"/>
            </w14:solidFill>
          </w14:textFill>
        </w:rPr>
        <w:t>.</w:t>
      </w:r>
    </w:p>
    <w:p>
      <w:pPr>
        <w:spacing w:line="276" w:lineRule="auto"/>
        <w:jc w:val="both"/>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 xml:space="preserve">HASIL DAN PEMBAHASAN </w:t>
      </w:r>
    </w:p>
    <w:p>
      <w:pPr>
        <w:spacing w:before="240" w:line="276" w:lineRule="auto"/>
        <w:jc w:val="both"/>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HASIL</w:t>
      </w:r>
    </w:p>
    <w:p>
      <w:pPr>
        <w:spacing w:line="276" w:lineRule="auto"/>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Hasil penelitian ini dilakukan dengan 2 responden subyek studi kasus didapatkan nyeri kronis yang semula dalam skala 6 nyeri sedang menjadi skala 3 nyeri ringan. </w:t>
      </w:r>
    </w:p>
    <w:p>
      <w:pPr>
        <w:spacing w:line="276" w:lineRule="auto"/>
        <w:jc w:val="center"/>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Tabel 3.5 Data kadar asam urat setelah pemberian air rebusan cengkeh</w:t>
      </w:r>
    </w:p>
    <w:tbl>
      <w:tblPr>
        <w:tblStyle w:val="6"/>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12"/>
        <w:gridCol w:w="642"/>
        <w:gridCol w:w="690"/>
        <w:gridCol w:w="550"/>
        <w:gridCol w:w="6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trPr>
        <w:tc>
          <w:tcPr>
            <w:tcW w:w="5612" w:type="dxa"/>
            <w:tcBorders>
              <w:left w:val="nil"/>
              <w:bottom w:val="single" w:color="auto" w:sz="4" w:space="0"/>
              <w:right w:val="nil"/>
            </w:tcBorders>
          </w:tcPr>
          <w:p>
            <w:pPr>
              <w:spacing w:line="276" w:lineRule="auto"/>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Kriteria</w:t>
            </w:r>
            <w:r>
              <w:rPr>
                <w:rFonts w:ascii="Microsoft Himalaya" w:hAnsi="Microsoft Himalaya" w:cs="Times New Roman"/>
                <w:bCs/>
                <w:color w:val="D9D9D9" w:themeColor="background1" w:themeShade="D9"/>
                <w:sz w:val="5"/>
                <w:szCs w:val="24"/>
                <w:lang w:val="en-US"/>
              </w:rPr>
              <w:t>|</w:t>
            </w:r>
          </w:p>
        </w:tc>
        <w:tc>
          <w:tcPr>
            <w:tcW w:w="1332" w:type="dxa"/>
            <w:gridSpan w:val="2"/>
            <w:tcBorders>
              <w:left w:val="nil"/>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sebelum</w:t>
            </w:r>
          </w:p>
        </w:tc>
        <w:tc>
          <w:tcPr>
            <w:tcW w:w="1158" w:type="dxa"/>
            <w:gridSpan w:val="2"/>
            <w:tcBorders>
              <w:left w:val="nil"/>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setela</w:t>
            </w:r>
            <w:r>
              <w:rPr>
                <w:rFonts w:ascii="Microsoft Himalaya" w:hAnsi="Microsoft Himalaya" w:cs="Times New Roman"/>
                <w:bCs/>
                <w:color w:val="D9D9D9" w:themeColor="background1" w:themeShade="D9"/>
                <w:sz w:val="5"/>
                <w:szCs w:val="24"/>
                <w:lang w:val="en-US"/>
              </w:rPr>
              <w:t>|</w:t>
            </w:r>
            <w:r>
              <w:rPr>
                <w:rFonts w:ascii="Times New Roman" w:hAnsi="Times New Roman" w:cs="Times New Roman"/>
                <w:b/>
                <w:bCs/>
                <w:color w:val="000000" w:themeColor="text1"/>
                <w:sz w:val="24"/>
                <w:szCs w:val="24"/>
                <w:lang w:val="en-US"/>
                <w14:textFill>
                  <w14:solidFill>
                    <w14:schemeClr w14:val="tx1"/>
                  </w14:solidFill>
                </w14:textFill>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5612" w:type="dxa"/>
            <w:tcBorders>
              <w:left w:val="nil"/>
              <w:right w:val="nil"/>
            </w:tcBorders>
          </w:tcPr>
          <w:p>
            <w:pPr>
              <w:spacing w:line="276" w:lineRule="auto"/>
              <w:rPr>
                <w:rFonts w:ascii="Times New Roman" w:hAnsi="Times New Roman" w:cs="Times New Roman"/>
                <w:b/>
                <w:bCs/>
                <w:color w:val="000000" w:themeColor="text1"/>
                <w:sz w:val="24"/>
                <w:szCs w:val="24"/>
                <w:lang w:val="en-US"/>
                <w14:textFill>
                  <w14:solidFill>
                    <w14:schemeClr w14:val="tx1"/>
                  </w14:solidFill>
                </w14:textFill>
              </w:rPr>
            </w:pPr>
          </w:p>
        </w:tc>
        <w:tc>
          <w:tcPr>
            <w:tcW w:w="642" w:type="dxa"/>
            <w:tcBorders>
              <w:left w:val="nil"/>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J</w:t>
            </w:r>
          </w:p>
        </w:tc>
        <w:tc>
          <w:tcPr>
            <w:tcW w:w="689" w:type="dxa"/>
            <w:tcBorders>
              <w:left w:val="nil"/>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w:t>
            </w:r>
          </w:p>
        </w:tc>
        <w:tc>
          <w:tcPr>
            <w:tcW w:w="550" w:type="dxa"/>
            <w:tcBorders>
              <w:left w:val="nil"/>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J</w:t>
            </w:r>
          </w:p>
        </w:tc>
        <w:tc>
          <w:tcPr>
            <w:tcW w:w="608" w:type="dxa"/>
            <w:tcBorders>
              <w:left w:val="nil"/>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5612" w:type="dxa"/>
            <w:tcBorders>
              <w:left w:val="nil"/>
              <w:right w:val="nil"/>
            </w:tcBorders>
          </w:tcPr>
          <w:p>
            <w:pPr>
              <w:spacing w:line="276" w:lineRule="auto"/>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Norma</w:t>
            </w:r>
            <w:r>
              <w:rPr>
                <w:rFonts w:ascii="Microsoft Himalaya" w:hAnsi="Microsoft Himalaya" w:cs="Times New Roman"/>
                <w:bCs/>
                <w:color w:val="D9D9D9" w:themeColor="background1" w:themeShade="D9"/>
                <w:sz w:val="5"/>
                <w:szCs w:val="24"/>
                <w:lang w:val="en-US"/>
              </w:rPr>
              <w:t>|</w:t>
            </w:r>
            <w:r>
              <w:rPr>
                <w:rFonts w:ascii="Times New Roman" w:hAnsi="Times New Roman" w:cs="Times New Roman"/>
                <w:b/>
                <w:bCs/>
                <w:color w:val="000000" w:themeColor="text1"/>
                <w:sz w:val="24"/>
                <w:szCs w:val="24"/>
                <w:lang w:val="en-US"/>
                <w14:textFill>
                  <w14:solidFill>
                    <w14:schemeClr w14:val="tx1"/>
                  </w14:solidFill>
                </w14:textFill>
              </w:rPr>
              <w:t>l</w:t>
            </w:r>
          </w:p>
        </w:tc>
        <w:tc>
          <w:tcPr>
            <w:tcW w:w="642" w:type="dxa"/>
            <w:tcBorders>
              <w:left w:val="nil"/>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p>
        </w:tc>
        <w:tc>
          <w:tcPr>
            <w:tcW w:w="689" w:type="dxa"/>
            <w:tcBorders>
              <w:left w:val="nil"/>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p>
        </w:tc>
        <w:tc>
          <w:tcPr>
            <w:tcW w:w="550" w:type="dxa"/>
            <w:tcBorders>
              <w:left w:val="nil"/>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2</w:t>
            </w:r>
          </w:p>
        </w:tc>
        <w:tc>
          <w:tcPr>
            <w:tcW w:w="608" w:type="dxa"/>
            <w:tcBorders>
              <w:left w:val="nil"/>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5612" w:type="dxa"/>
            <w:tcBorders>
              <w:left w:val="nil"/>
              <w:right w:val="nil"/>
            </w:tcBorders>
          </w:tcPr>
          <w:p>
            <w:pPr>
              <w:spacing w:line="276" w:lineRule="auto"/>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Menderita</w:t>
            </w:r>
            <w:r>
              <w:rPr>
                <w:rFonts w:ascii="Microsoft Himalaya" w:hAnsi="Microsoft Himalaya" w:cs="Times New Roman"/>
                <w:bCs/>
                <w:color w:val="D9D9D9" w:themeColor="background1" w:themeShade="D9"/>
                <w:sz w:val="5"/>
                <w:szCs w:val="24"/>
                <w:lang w:val="en-US"/>
              </w:rPr>
              <w:t>|</w:t>
            </w:r>
            <w:r>
              <w:rPr>
                <w:rFonts w:ascii="Times New Roman" w:hAnsi="Times New Roman" w:cs="Times New Roman"/>
                <w:b/>
                <w:bCs/>
                <w:color w:val="000000" w:themeColor="text1"/>
                <w:sz w:val="24"/>
                <w:szCs w:val="24"/>
                <w:lang w:val="en-US"/>
                <w14:textFill>
                  <w14:solidFill>
                    <w14:schemeClr w14:val="tx1"/>
                  </w14:solidFill>
                </w14:textFill>
              </w:rPr>
              <w:t xml:space="preserve"> Gout A</w:t>
            </w:r>
            <w:r>
              <w:rPr>
                <w:rFonts w:ascii="Microsoft Himalaya" w:hAnsi="Microsoft Himalaya" w:cs="Times New Roman"/>
                <w:bCs/>
                <w:color w:val="D9D9D9" w:themeColor="background1" w:themeShade="D9"/>
                <w:sz w:val="5"/>
                <w:szCs w:val="24"/>
                <w:lang w:val="en-US"/>
              </w:rPr>
              <w:t>|</w:t>
            </w:r>
            <w:r>
              <w:rPr>
                <w:rFonts w:ascii="Times New Roman" w:hAnsi="Times New Roman" w:cs="Times New Roman"/>
                <w:b/>
                <w:bCs/>
                <w:color w:val="000000" w:themeColor="text1"/>
                <w:sz w:val="24"/>
                <w:szCs w:val="24"/>
                <w:lang w:val="en-US"/>
                <w14:textFill>
                  <w14:solidFill>
                    <w14:schemeClr w14:val="tx1"/>
                  </w14:solidFill>
                </w14:textFill>
              </w:rPr>
              <w:t>rthritis</w:t>
            </w:r>
          </w:p>
        </w:tc>
        <w:tc>
          <w:tcPr>
            <w:tcW w:w="642" w:type="dxa"/>
            <w:tcBorders>
              <w:left w:val="nil"/>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2</w:t>
            </w:r>
          </w:p>
        </w:tc>
        <w:tc>
          <w:tcPr>
            <w:tcW w:w="689" w:type="dxa"/>
            <w:tcBorders>
              <w:left w:val="nil"/>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100</w:t>
            </w:r>
          </w:p>
        </w:tc>
        <w:tc>
          <w:tcPr>
            <w:tcW w:w="550" w:type="dxa"/>
            <w:tcBorders>
              <w:left w:val="nil"/>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p>
        </w:tc>
        <w:tc>
          <w:tcPr>
            <w:tcW w:w="608" w:type="dxa"/>
            <w:tcBorders>
              <w:left w:val="nil"/>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p>
        </w:tc>
      </w:tr>
    </w:tbl>
    <w:p>
      <w:pPr>
        <w:spacing w:line="276" w:lineRule="auto"/>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J: Jumla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h responden</w:t>
      </w:r>
    </w:p>
    <w:p>
      <w:pPr>
        <w:spacing w:line="276" w:lineRule="auto"/>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Gout arthitis adalah penumpukan kadar asam urat dalam darah dengan nilai rentang normal pada laki-laki 3.4-7.0 mg/dL, dan pada perempian 2.4-5.5 mg/dL.</w:t>
      </w:r>
    </w:p>
    <w:p>
      <w:pPr>
        <w:spacing w:line="276" w:lineRule="auto"/>
        <w:ind w:firstLine="72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Setelah dilakukan Tindakan pemberian air rebusan cengkeh 1kali pada pagi hari selama 3 hari didapatkan hasil kadar asam urat menurun.</w:t>
      </w:r>
    </w:p>
    <w:p>
      <w:pPr>
        <w:spacing w:line="276" w:lineRule="auto"/>
        <w:ind w:firstLine="72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Dalam tabel 3.5 kadar asam urat dalam darah pada responden sebelum diberi Tindakan adalah menderita gout arthritis dengan presentase 100% dan setelah dilakukan Tindakan pemberian air rebusan cengkeh didapatkan nilai normal dengan presentase 60%.</w:t>
      </w:r>
    </w:p>
    <w:p>
      <w:pPr>
        <w:spacing w:line="276" w:lineRule="auto"/>
        <w:jc w:val="center"/>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Tabel 3.4 Data kadar asam urat setelah pemberian air rebusan cengkeh</w:t>
      </w:r>
    </w:p>
    <w:tbl>
      <w:tblPr>
        <w:tblStyle w:val="6"/>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12"/>
        <w:gridCol w:w="642"/>
        <w:gridCol w:w="690"/>
        <w:gridCol w:w="550"/>
        <w:gridCol w:w="6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trPr>
        <w:tc>
          <w:tcPr>
            <w:tcW w:w="5612" w:type="dxa"/>
            <w:tcBorders>
              <w:top w:val="single" w:color="auto" w:sz="4" w:space="0"/>
              <w:left w:val="nil"/>
              <w:bottom w:val="single" w:color="auto" w:sz="4" w:space="0"/>
              <w:right w:val="nil"/>
            </w:tcBorders>
          </w:tcPr>
          <w:p>
            <w:pPr>
              <w:spacing w:line="276" w:lineRule="auto"/>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 xml:space="preserve">Kriteria skala nyeri </w:t>
            </w:r>
          </w:p>
        </w:tc>
        <w:tc>
          <w:tcPr>
            <w:tcW w:w="1332" w:type="dxa"/>
            <w:gridSpan w:val="2"/>
            <w:tcBorders>
              <w:top w:val="single" w:color="auto" w:sz="4" w:space="0"/>
              <w:left w:val="nil"/>
              <w:bottom w:val="single" w:color="auto" w:sz="4" w:space="0"/>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sebelum</w:t>
            </w:r>
          </w:p>
        </w:tc>
        <w:tc>
          <w:tcPr>
            <w:tcW w:w="1158" w:type="dxa"/>
            <w:gridSpan w:val="2"/>
            <w:tcBorders>
              <w:top w:val="single" w:color="auto" w:sz="4" w:space="0"/>
              <w:left w:val="nil"/>
              <w:bottom w:val="single" w:color="auto" w:sz="4" w:space="0"/>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setelah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5612" w:type="dxa"/>
            <w:tcBorders>
              <w:top w:val="single" w:color="auto" w:sz="4" w:space="0"/>
              <w:left w:val="nil"/>
              <w:bottom w:val="single" w:color="auto" w:sz="4" w:space="0"/>
              <w:right w:val="nil"/>
            </w:tcBorders>
          </w:tcPr>
          <w:p>
            <w:pPr>
              <w:spacing w:line="276" w:lineRule="auto"/>
              <w:rPr>
                <w:rFonts w:ascii="Times New Roman" w:hAnsi="Times New Roman" w:cs="Times New Roman"/>
                <w:b/>
                <w:bCs/>
                <w:color w:val="000000" w:themeColor="text1"/>
                <w:sz w:val="24"/>
                <w:szCs w:val="24"/>
                <w:lang w:val="en-US"/>
                <w14:textFill>
                  <w14:solidFill>
                    <w14:schemeClr w14:val="tx1"/>
                  </w14:solidFill>
                </w14:textFill>
              </w:rPr>
            </w:pPr>
          </w:p>
        </w:tc>
        <w:tc>
          <w:tcPr>
            <w:tcW w:w="642" w:type="dxa"/>
            <w:tcBorders>
              <w:top w:val="single" w:color="auto" w:sz="4" w:space="0"/>
              <w:left w:val="nil"/>
              <w:bottom w:val="single" w:color="auto" w:sz="4" w:space="0"/>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J</w:t>
            </w:r>
          </w:p>
        </w:tc>
        <w:tc>
          <w:tcPr>
            <w:tcW w:w="690" w:type="dxa"/>
            <w:tcBorders>
              <w:top w:val="single" w:color="auto" w:sz="4" w:space="0"/>
              <w:left w:val="nil"/>
              <w:bottom w:val="single" w:color="auto" w:sz="4" w:space="0"/>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w:t>
            </w:r>
          </w:p>
        </w:tc>
        <w:tc>
          <w:tcPr>
            <w:tcW w:w="550" w:type="dxa"/>
            <w:tcBorders>
              <w:top w:val="single" w:color="auto" w:sz="4" w:space="0"/>
              <w:left w:val="nil"/>
              <w:bottom w:val="single" w:color="auto" w:sz="4" w:space="0"/>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J</w:t>
            </w:r>
          </w:p>
        </w:tc>
        <w:tc>
          <w:tcPr>
            <w:tcW w:w="608" w:type="dxa"/>
            <w:tcBorders>
              <w:top w:val="single" w:color="auto" w:sz="4" w:space="0"/>
              <w:left w:val="nil"/>
              <w:bottom w:val="single" w:color="auto" w:sz="4" w:space="0"/>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5612" w:type="dxa"/>
            <w:tcBorders>
              <w:top w:val="single" w:color="auto" w:sz="4" w:space="0"/>
              <w:left w:val="nil"/>
              <w:bottom w:val="single" w:color="auto" w:sz="4" w:space="0"/>
              <w:right w:val="nil"/>
            </w:tcBorders>
          </w:tcPr>
          <w:p>
            <w:pPr>
              <w:spacing w:line="276" w:lineRule="auto"/>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 xml:space="preserve">Ringan </w:t>
            </w:r>
          </w:p>
        </w:tc>
        <w:tc>
          <w:tcPr>
            <w:tcW w:w="642" w:type="dxa"/>
            <w:tcBorders>
              <w:top w:val="single" w:color="auto" w:sz="4" w:space="0"/>
              <w:left w:val="nil"/>
              <w:bottom w:val="single" w:color="auto" w:sz="4" w:space="0"/>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p>
        </w:tc>
        <w:tc>
          <w:tcPr>
            <w:tcW w:w="690" w:type="dxa"/>
            <w:tcBorders>
              <w:top w:val="single" w:color="auto" w:sz="4" w:space="0"/>
              <w:left w:val="nil"/>
              <w:bottom w:val="single" w:color="auto" w:sz="4" w:space="0"/>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p>
        </w:tc>
        <w:tc>
          <w:tcPr>
            <w:tcW w:w="550" w:type="dxa"/>
            <w:tcBorders>
              <w:top w:val="single" w:color="auto" w:sz="4" w:space="0"/>
              <w:left w:val="nil"/>
              <w:bottom w:val="single" w:color="auto" w:sz="4" w:space="0"/>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2</w:t>
            </w:r>
          </w:p>
        </w:tc>
        <w:tc>
          <w:tcPr>
            <w:tcW w:w="608" w:type="dxa"/>
            <w:tcBorders>
              <w:top w:val="single" w:color="auto" w:sz="4" w:space="0"/>
              <w:left w:val="nil"/>
              <w:bottom w:val="single" w:color="auto" w:sz="4" w:space="0"/>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5612" w:type="dxa"/>
            <w:tcBorders>
              <w:top w:val="single" w:color="auto" w:sz="4" w:space="0"/>
              <w:left w:val="nil"/>
              <w:bottom w:val="single" w:color="auto" w:sz="4" w:space="0"/>
              <w:right w:val="nil"/>
            </w:tcBorders>
          </w:tcPr>
          <w:p>
            <w:pPr>
              <w:spacing w:line="276" w:lineRule="auto"/>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 xml:space="preserve">Sedang </w:t>
            </w:r>
          </w:p>
        </w:tc>
        <w:tc>
          <w:tcPr>
            <w:tcW w:w="642" w:type="dxa"/>
            <w:tcBorders>
              <w:top w:val="single" w:color="auto" w:sz="4" w:space="0"/>
              <w:left w:val="nil"/>
              <w:bottom w:val="single" w:color="auto" w:sz="4" w:space="0"/>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2</w:t>
            </w:r>
          </w:p>
        </w:tc>
        <w:tc>
          <w:tcPr>
            <w:tcW w:w="690" w:type="dxa"/>
            <w:tcBorders>
              <w:top w:val="single" w:color="auto" w:sz="4" w:space="0"/>
              <w:left w:val="nil"/>
              <w:bottom w:val="single" w:color="auto" w:sz="4" w:space="0"/>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100</w:t>
            </w:r>
          </w:p>
        </w:tc>
        <w:tc>
          <w:tcPr>
            <w:tcW w:w="550" w:type="dxa"/>
            <w:tcBorders>
              <w:top w:val="single" w:color="auto" w:sz="4" w:space="0"/>
              <w:left w:val="nil"/>
              <w:bottom w:val="single" w:color="auto" w:sz="4" w:space="0"/>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p>
        </w:tc>
        <w:tc>
          <w:tcPr>
            <w:tcW w:w="608" w:type="dxa"/>
            <w:tcBorders>
              <w:top w:val="single" w:color="auto" w:sz="4" w:space="0"/>
              <w:left w:val="nil"/>
              <w:bottom w:val="single" w:color="auto" w:sz="4" w:space="0"/>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5612" w:type="dxa"/>
            <w:tcBorders>
              <w:top w:val="single" w:color="auto" w:sz="4" w:space="0"/>
              <w:left w:val="nil"/>
              <w:bottom w:val="single" w:color="auto" w:sz="4" w:space="0"/>
              <w:right w:val="nil"/>
            </w:tcBorders>
          </w:tcPr>
          <w:p>
            <w:pPr>
              <w:spacing w:line="276" w:lineRule="auto"/>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 xml:space="preserve">Berat </w:t>
            </w:r>
          </w:p>
        </w:tc>
        <w:tc>
          <w:tcPr>
            <w:tcW w:w="642" w:type="dxa"/>
            <w:tcBorders>
              <w:top w:val="single" w:color="auto" w:sz="4" w:space="0"/>
              <w:left w:val="nil"/>
              <w:bottom w:val="single" w:color="auto" w:sz="4" w:space="0"/>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p>
        </w:tc>
        <w:tc>
          <w:tcPr>
            <w:tcW w:w="690" w:type="dxa"/>
            <w:tcBorders>
              <w:top w:val="single" w:color="auto" w:sz="4" w:space="0"/>
              <w:left w:val="nil"/>
              <w:bottom w:val="single" w:color="auto" w:sz="4" w:space="0"/>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p>
        </w:tc>
        <w:tc>
          <w:tcPr>
            <w:tcW w:w="550" w:type="dxa"/>
            <w:tcBorders>
              <w:top w:val="single" w:color="auto" w:sz="4" w:space="0"/>
              <w:left w:val="nil"/>
              <w:bottom w:val="single" w:color="auto" w:sz="4" w:space="0"/>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p>
        </w:tc>
        <w:tc>
          <w:tcPr>
            <w:tcW w:w="608" w:type="dxa"/>
            <w:tcBorders>
              <w:top w:val="single" w:color="auto" w:sz="4" w:space="0"/>
              <w:left w:val="nil"/>
              <w:bottom w:val="single" w:color="auto" w:sz="4" w:space="0"/>
              <w:right w:val="nil"/>
            </w:tcBorders>
          </w:tcPr>
          <w:p>
            <w:pPr>
              <w:spacing w:line="276" w:lineRule="auto"/>
              <w:jc w:val="center"/>
              <w:rPr>
                <w:rFonts w:ascii="Times New Roman" w:hAnsi="Times New Roman" w:cs="Times New Roman"/>
                <w:b/>
                <w:bCs/>
                <w:color w:val="000000" w:themeColor="text1"/>
                <w:sz w:val="24"/>
                <w:szCs w:val="24"/>
                <w:lang w:val="en-US"/>
                <w14:textFill>
                  <w14:solidFill>
                    <w14:schemeClr w14:val="tx1"/>
                  </w14:solidFill>
                </w14:textFill>
              </w:rPr>
            </w:pPr>
          </w:p>
        </w:tc>
      </w:tr>
    </w:tbl>
    <w:p>
      <w:pPr>
        <w:spacing w:line="276" w:lineRule="auto"/>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J: Jumlah responden</w:t>
      </w:r>
    </w:p>
    <w:p>
      <w:pPr>
        <w:spacing w:line="276" w:lineRule="auto"/>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Skala nyeri dibagi menjadi 3 yaitu, ringan 1-3, sedang 4-6, berat 7-10. </w:t>
      </w:r>
    </w:p>
    <w:p>
      <w:pPr>
        <w:spacing w:line="276" w:lineRule="auto"/>
        <w:ind w:firstLine="72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Setelah dilakukan Tindakan pemberian air rebusan cengkeh 1kali pada pagi hari selama 3 hari didapatkan hasil tingkat nyeri dari semula sedang menjadi ringan.</w:t>
      </w:r>
    </w:p>
    <w:p>
      <w:pPr>
        <w:spacing w:line="276" w:lineRule="auto"/>
        <w:ind w:firstLine="72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Pada tabel 3.4 didapatkan sebelum Tindakan 2 responden nyeri kronis dengan presentase 100% dan setelah dilakukan Tindakan pemberian air rebusan cengkeh 2 responden menjadi ringan dengan presentase 100%. </w:t>
      </w:r>
    </w:p>
    <w:p>
      <w:pPr>
        <w:spacing w:before="240" w:line="276" w:lineRule="auto"/>
        <w:jc w:val="both"/>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PEMBAHASAN</w:t>
      </w:r>
    </w:p>
    <w:p>
      <w:pPr>
        <w:spacing w:before="240" w:line="276" w:lineRule="auto"/>
        <w:ind w:firstLine="72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Setelah dilakukan Tindakan pemberian air rebusan cengkeh maka didapatkan hasil penderita gout arthristis mengalami nyeri kronuk dari semula sedang menjadi ringan dan kadar asam urat menurun. Hal ini sejalan dengan penelitian Hasriyanti, dkk (2022) mengenai Pengaruh Rebusan Air Cengkeh Terhadap Penurunan Nyeri Gout Arthritis Pada Lansia Di Puskesmas Bone didapatkan bahwa dari 30 responden setelah diberikan rebusan air cengkeh yang mengalami penurunan nyeri, terdapat 6 (100%) responden yang mengalami tidak nyeri, 14 (100%) responden mengalami nyeri ringan dan 10 (100%) responden mengalami nyeri sedang.</w:t>
      </w:r>
    </w:p>
    <w:p>
      <w:pPr>
        <w:spacing w:before="240" w:line="276" w:lineRule="auto"/>
        <w:ind w:firstLine="72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Berda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sa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rka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penelitia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Dicki Wa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hyu 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ria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nto (2018) mengena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i Upa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ya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 xml:space="preserve"> Menurunka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Nyeri 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sa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m Ura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t Mela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lui Rebusa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Cengkeh Pa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da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 xml:space="preserve"> 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suha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Kepera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wa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ta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Gerontik dida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pa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tka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ba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hwa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 xml:space="preserve"> pemberia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rebusa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cengkeh sela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ma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 xml:space="preserve"> 7 ha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ri wa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ktunya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 xml:space="preserve"> pa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gi da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sore ha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ri da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pa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t mengura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ngi 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sa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m ura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t, sehingga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 xml:space="preserve"> disimpulka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ba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hwa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 xml:space="preserve"> Rebusa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cengkeh da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pa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t menurunka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nyeri pa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da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 xml:space="preserve"> penderita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 xml:space="preserve"> 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sa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m ura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t la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nsia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 xml:space="preserve"> (A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ria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nto, 2018).</w:t>
      </w:r>
    </w:p>
    <w:p>
      <w:pPr>
        <w:spacing w:before="240" w:line="276" w:lineRule="auto"/>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ab/>
      </w:r>
    </w:p>
    <w:p>
      <w:pPr>
        <w:spacing w:before="240" w:line="276" w:lineRule="auto"/>
        <w:jc w:val="both"/>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KESIMPULA</w:t>
      </w:r>
      <w:r>
        <w:rPr>
          <w:rFonts w:ascii="Microsoft Himalaya" w:hAnsi="Microsoft Himalaya" w:cs="Times New Roman"/>
          <w:bCs/>
          <w:color w:val="D9D9D9" w:themeColor="background1" w:themeShade="D9"/>
          <w:sz w:val="5"/>
          <w:szCs w:val="24"/>
          <w:lang w:val="en-US"/>
        </w:rPr>
        <w:t>|</w:t>
      </w:r>
      <w:r>
        <w:rPr>
          <w:rFonts w:ascii="Times New Roman" w:hAnsi="Times New Roman" w:cs="Times New Roman"/>
          <w:b/>
          <w:bCs/>
          <w:color w:val="000000" w:themeColor="text1"/>
          <w:sz w:val="24"/>
          <w:szCs w:val="24"/>
          <w:lang w:val="en-US"/>
          <w14:textFill>
            <w14:solidFill>
              <w14:schemeClr w14:val="tx1"/>
            </w14:solidFill>
          </w14:textFill>
        </w:rPr>
        <w:t>N</w:t>
      </w:r>
    </w:p>
    <w:p>
      <w:pPr>
        <w:spacing w:before="240" w:line="276" w:lineRule="auto"/>
        <w:ind w:firstLine="72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Sebelum tinda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ka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dila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kuka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kedua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 xml:space="preserve"> responden menga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la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mi nyeri kronis da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ka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da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r 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sa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m ura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t ya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ng tinggi. Setela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h mengonsumsi 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ir rebusa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cengkeh, terja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di peruba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ha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ya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ng signifika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Nyeri kronis ya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ng semula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 xml:space="preserve"> seda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ng menga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la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mi penuruna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menja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di ringa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da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ka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da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r 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sa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m ura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t ya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ng tinggi pa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da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 xml:space="preserve"> kedua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 xml:space="preserve"> responden juga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 xml:space="preserve"> menurun.</w:t>
      </w:r>
    </w:p>
    <w:p>
      <w:pPr>
        <w:spacing w:before="240" w:line="276" w:lineRule="auto"/>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Kesimpula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da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ri penelitia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ini 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da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la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h ba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hwa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 xml:space="preserve"> pemberia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ir rebusa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cengkeh pa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da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 xml:space="preserve"> pa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sien denga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Gout 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rthritis da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pa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t mengura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ngi tingka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t nyeri kronis da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menurunka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ka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da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r 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sa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m ura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t ya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ng tinggi. Ha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l ini menunjukka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potensi 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ir rebusa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cengkeh seba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ga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i tera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pi ya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ng da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pa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t memba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ntu menga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ta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si nyeri da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mengelola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 xml:space="preserve"> kondisi Gout 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rthritis. Na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mun, perlu dila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kuka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penelitia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lebih la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njut denga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sa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mpel ya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ng lebih besa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r da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kontrol ya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ng lebih ba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ik untuk mengonfirma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si ha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 xml:space="preserve">sil ini. </w:t>
      </w:r>
    </w:p>
    <w:p>
      <w:pPr>
        <w:spacing w:before="240" w:line="276" w:lineRule="auto"/>
        <w:jc w:val="both"/>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UCA</w:t>
      </w:r>
      <w:r>
        <w:rPr>
          <w:rFonts w:ascii="Microsoft Himalaya" w:hAnsi="Microsoft Himalaya" w:cs="Times New Roman"/>
          <w:bCs/>
          <w:color w:val="D9D9D9" w:themeColor="background1" w:themeShade="D9"/>
          <w:sz w:val="5"/>
          <w:szCs w:val="24"/>
          <w:lang w:val="en-US"/>
        </w:rPr>
        <w:t>|</w:t>
      </w:r>
      <w:r>
        <w:rPr>
          <w:rFonts w:ascii="Times New Roman" w:hAnsi="Times New Roman" w:cs="Times New Roman"/>
          <w:b/>
          <w:bCs/>
          <w:color w:val="000000" w:themeColor="text1"/>
          <w:sz w:val="24"/>
          <w:szCs w:val="24"/>
          <w:lang w:val="en-US"/>
          <w14:textFill>
            <w14:solidFill>
              <w14:schemeClr w14:val="tx1"/>
            </w14:solidFill>
          </w14:textFill>
        </w:rPr>
        <w:t>PA</w:t>
      </w:r>
      <w:r>
        <w:rPr>
          <w:rFonts w:ascii="Microsoft Himalaya" w:hAnsi="Microsoft Himalaya" w:cs="Times New Roman"/>
          <w:bCs/>
          <w:color w:val="D9D9D9" w:themeColor="background1" w:themeShade="D9"/>
          <w:sz w:val="5"/>
          <w:szCs w:val="24"/>
          <w:lang w:val="en-US"/>
        </w:rPr>
        <w:t>|</w:t>
      </w:r>
      <w:r>
        <w:rPr>
          <w:rFonts w:ascii="Times New Roman" w:hAnsi="Times New Roman" w:cs="Times New Roman"/>
          <w:b/>
          <w:bCs/>
          <w:color w:val="000000" w:themeColor="text1"/>
          <w:sz w:val="24"/>
          <w:szCs w:val="24"/>
          <w:lang w:val="en-US"/>
          <w14:textFill>
            <w14:solidFill>
              <w14:schemeClr w14:val="tx1"/>
            </w14:solidFill>
          </w14:textFill>
        </w:rPr>
        <w:t>N TERIMA</w:t>
      </w:r>
      <w:r>
        <w:rPr>
          <w:rFonts w:ascii="Microsoft Himalaya" w:hAnsi="Microsoft Himalaya" w:cs="Times New Roman"/>
          <w:bCs/>
          <w:color w:val="D9D9D9" w:themeColor="background1" w:themeShade="D9"/>
          <w:sz w:val="5"/>
          <w:szCs w:val="24"/>
          <w:lang w:val="en-US"/>
        </w:rPr>
        <w:t>|</w:t>
      </w:r>
      <w:r>
        <w:rPr>
          <w:rFonts w:ascii="Times New Roman" w:hAnsi="Times New Roman" w:cs="Times New Roman"/>
          <w:b/>
          <w:bCs/>
          <w:color w:val="000000" w:themeColor="text1"/>
          <w:sz w:val="24"/>
          <w:szCs w:val="24"/>
          <w:lang w:val="en-US"/>
          <w14:textFill>
            <w14:solidFill>
              <w14:schemeClr w14:val="tx1"/>
            </w14:solidFill>
          </w14:textFill>
        </w:rPr>
        <w:t xml:space="preserve"> KA</w:t>
      </w:r>
      <w:r>
        <w:rPr>
          <w:rFonts w:ascii="Microsoft Himalaya" w:hAnsi="Microsoft Himalaya" w:cs="Times New Roman"/>
          <w:bCs/>
          <w:color w:val="D9D9D9" w:themeColor="background1" w:themeShade="D9"/>
          <w:sz w:val="5"/>
          <w:szCs w:val="24"/>
          <w:lang w:val="en-US"/>
        </w:rPr>
        <w:t>|</w:t>
      </w:r>
      <w:r>
        <w:rPr>
          <w:rFonts w:ascii="Times New Roman" w:hAnsi="Times New Roman" w:cs="Times New Roman"/>
          <w:b/>
          <w:bCs/>
          <w:color w:val="000000" w:themeColor="text1"/>
          <w:sz w:val="24"/>
          <w:szCs w:val="24"/>
          <w:lang w:val="en-US"/>
          <w14:textFill>
            <w14:solidFill>
              <w14:schemeClr w14:val="tx1"/>
            </w14:solidFill>
          </w14:textFill>
        </w:rPr>
        <w:t>SIH</w:t>
      </w:r>
    </w:p>
    <w:p>
      <w:pPr>
        <w:spacing w:before="240" w:line="276" w:lineRule="auto"/>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Terima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ka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sih kepa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da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 xml:space="preserve"> sta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ff 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ka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demi kepera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wa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ta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l ka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utsa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r tema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nggung, responden, da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tema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ngka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ta</w:t>
      </w:r>
      <w:r>
        <w:rPr>
          <w:rFonts w:ascii="Microsoft Himalaya" w:hAnsi="Microsoft Himalaya" w:cs="Times New Roman"/>
          <w:color w:val="D9D9D9" w:themeColor="background1" w:themeShade="D9"/>
          <w:sz w:val="5"/>
          <w:szCs w:val="24"/>
          <w:lang w:val="en-US"/>
        </w:rPr>
        <w:t>|</w:t>
      </w:r>
      <w:r>
        <w:rPr>
          <w:rFonts w:ascii="Times New Roman" w:hAnsi="Times New Roman" w:cs="Times New Roman"/>
          <w:color w:val="000000" w:themeColor="text1"/>
          <w:sz w:val="24"/>
          <w:szCs w:val="24"/>
          <w:lang w:val="en-US"/>
          <w14:textFill>
            <w14:solidFill>
              <w14:schemeClr w14:val="tx1"/>
            </w14:solidFill>
          </w14:textFill>
        </w:rPr>
        <w:t>n 25.</w:t>
      </w:r>
    </w:p>
    <w:p>
      <w:pPr>
        <w:spacing w:before="240" w:line="276" w:lineRule="auto"/>
        <w:jc w:val="both"/>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DA</w:t>
      </w:r>
      <w:r>
        <w:rPr>
          <w:rFonts w:ascii="Microsoft Himalaya" w:hAnsi="Microsoft Himalaya" w:cs="Times New Roman"/>
          <w:bCs/>
          <w:color w:val="D9D9D9" w:themeColor="background1" w:themeShade="D9"/>
          <w:sz w:val="5"/>
          <w:szCs w:val="24"/>
          <w:lang w:val="en-US"/>
        </w:rPr>
        <w:t>|</w:t>
      </w:r>
      <w:r>
        <w:rPr>
          <w:rFonts w:ascii="Times New Roman" w:hAnsi="Times New Roman" w:cs="Times New Roman"/>
          <w:b/>
          <w:bCs/>
          <w:color w:val="000000" w:themeColor="text1"/>
          <w:sz w:val="24"/>
          <w:szCs w:val="24"/>
          <w:lang w:val="en-US"/>
          <w14:textFill>
            <w14:solidFill>
              <w14:schemeClr w14:val="tx1"/>
            </w14:solidFill>
          </w14:textFill>
        </w:rPr>
        <w:t>FTA</w:t>
      </w:r>
      <w:r>
        <w:rPr>
          <w:rFonts w:ascii="Microsoft Himalaya" w:hAnsi="Microsoft Himalaya" w:cs="Times New Roman"/>
          <w:bCs/>
          <w:color w:val="D9D9D9" w:themeColor="background1" w:themeShade="D9"/>
          <w:sz w:val="5"/>
          <w:szCs w:val="24"/>
          <w:lang w:val="en-US"/>
        </w:rPr>
        <w:t>|</w:t>
      </w:r>
      <w:r>
        <w:rPr>
          <w:rFonts w:ascii="Times New Roman" w:hAnsi="Times New Roman" w:cs="Times New Roman"/>
          <w:b/>
          <w:bCs/>
          <w:color w:val="000000" w:themeColor="text1"/>
          <w:sz w:val="24"/>
          <w:szCs w:val="24"/>
          <w:lang w:val="en-US"/>
          <w14:textFill>
            <w14:solidFill>
              <w14:schemeClr w14:val="tx1"/>
            </w14:solidFill>
          </w14:textFill>
        </w:rPr>
        <w:t>R PUSTA</w:t>
      </w:r>
      <w:r>
        <w:rPr>
          <w:rFonts w:ascii="Microsoft Himalaya" w:hAnsi="Microsoft Himalaya" w:cs="Times New Roman"/>
          <w:bCs/>
          <w:color w:val="D9D9D9" w:themeColor="background1" w:themeShade="D9"/>
          <w:sz w:val="5"/>
          <w:szCs w:val="24"/>
          <w:lang w:val="en-US"/>
        </w:rPr>
        <w:t>|</w:t>
      </w:r>
      <w:r>
        <w:rPr>
          <w:rFonts w:ascii="Times New Roman" w:hAnsi="Times New Roman" w:cs="Times New Roman"/>
          <w:b/>
          <w:bCs/>
          <w:color w:val="000000" w:themeColor="text1"/>
          <w:sz w:val="24"/>
          <w:szCs w:val="24"/>
          <w:lang w:val="en-US"/>
          <w14:textFill>
            <w14:solidFill>
              <w14:schemeClr w14:val="tx1"/>
            </w14:solidFill>
          </w14:textFill>
        </w:rPr>
        <w:t>KA</w:t>
      </w:r>
      <w:r>
        <w:rPr>
          <w:rFonts w:ascii="Microsoft Himalaya" w:hAnsi="Microsoft Himalaya" w:cs="Times New Roman"/>
          <w:bCs/>
          <w:color w:val="D9D9D9" w:themeColor="background1" w:themeShade="D9"/>
          <w:sz w:val="5"/>
          <w:szCs w:val="24"/>
          <w:lang w:val="en-US"/>
        </w:rPr>
        <w:t>|</w:t>
      </w:r>
    </w:p>
    <w:p>
      <w:pPr>
        <w:spacing w:line="276"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ria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nto, D. W. (2018). Upa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ya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 xml:space="preserve"> Menurunka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Nyeri 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sa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m Ura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t Mela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lui Rebusa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Cengkeh Pa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da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 xml:space="preserve"> 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suha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Kepera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wa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ta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Gerontik.</w:t>
      </w:r>
    </w:p>
    <w:p>
      <w:pPr>
        <w:spacing w:line="276"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Dina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s Keseha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ta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Ka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bupa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ten Tema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 xml:space="preserve">nggung </w:t>
      </w:r>
      <w:r>
        <w:rPr>
          <w:rFonts w:ascii="Times New Roman" w:hAnsi="Times New Roman" w:cs="Times New Roman"/>
          <w:color w:val="000000" w:themeColor="text1"/>
          <w:sz w:val="24"/>
          <w:szCs w:val="24"/>
          <w:lang w:val="en-US"/>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2022</w:t>
      </w:r>
      <w:r>
        <w:rPr>
          <w:rFonts w:ascii="Times New Roman" w:hAnsi="Times New Roman" w:cs="Times New Roman"/>
          <w:color w:val="000000" w:themeColor="text1"/>
          <w:sz w:val="24"/>
          <w:szCs w:val="24"/>
          <w:lang w:val="en-US"/>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 xml:space="preserve"> Da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ta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 xml:space="preserve"> Keseha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ta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Ka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bupa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ten Tema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nggung. Tema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nggung</w:t>
      </w:r>
    </w:p>
    <w:p>
      <w:pPr>
        <w:spacing w:line="276"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Ha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rya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ni, Sri 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nd Misnia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 xml:space="preserve">rti. </w:t>
      </w:r>
      <w:r>
        <w:rPr>
          <w:rFonts w:ascii="Times New Roman" w:hAnsi="Times New Roman" w:cs="Times New Roman"/>
          <w:color w:val="000000" w:themeColor="text1"/>
          <w:sz w:val="24"/>
          <w:szCs w:val="24"/>
          <w:lang w:val="en-US"/>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2020</w:t>
      </w:r>
      <w:r>
        <w:rPr>
          <w:rFonts w:ascii="Times New Roman" w:hAnsi="Times New Roman" w:cs="Times New Roman"/>
          <w:color w:val="000000" w:themeColor="text1"/>
          <w:sz w:val="24"/>
          <w:szCs w:val="24"/>
          <w:lang w:val="en-US"/>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 “Efektifita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s 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kupresur Da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la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m Menurunka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Ska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la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 xml:space="preserve"> Nyeri Pa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sien Hipertensi Diwila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ya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h Kerja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 xml:space="preserve"> Puskesma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s Perumna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s.” Jurna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l Kepera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wa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ta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Ra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flesia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 xml:space="preserve"> 2(1):21–30.</w:t>
      </w:r>
    </w:p>
    <w:p>
      <w:pPr>
        <w:spacing w:line="276"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Ha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sriya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nti, Fa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tma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wa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ti, 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rni 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R, Rusla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ng, Ma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sra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h Ha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sa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(2022). PENGA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RUH REBUSA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IR CENGKEH TERHA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DA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P PENURUNA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NYERI 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SA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M URA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T PA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DA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 xml:space="preserve"> LA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NSIA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 xml:space="preserve"> DI PUSKESMA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S PA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TTIRO MA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MPU KECA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MA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TA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DUA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 xml:space="preserve"> BOCCOE KA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BUPA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TEN BONE Jurna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l Ilmia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h Ma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ppa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dising.</w:t>
      </w:r>
    </w:p>
    <w:p>
      <w:pPr>
        <w:spacing w:line="276"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Kemenkes RI. 2021. Profil Keseha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ta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Indonesia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 xml:space="preserve"> 2020. Ja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ka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rta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 Kemenkes RI.</w:t>
      </w:r>
    </w:p>
    <w:p>
      <w:pPr>
        <w:spacing w:line="276"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Nura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rif, 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.H &amp; Kusuma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 H. (2016). 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suha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Kepera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wa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ta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Pra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ktis. Edisi Revisi Jilid</w:t>
      </w:r>
    </w:p>
    <w:p>
      <w:pPr>
        <w:spacing w:line="276" w:lineRule="auto"/>
        <w:ind w:left="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 Yogya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ka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rta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 Media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ction Jogja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w:t>
      </w:r>
    </w:p>
    <w:p>
      <w:pPr>
        <w:spacing w:line="276"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Ridhoputrie, M., Ka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rita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 D., Romdhoni, M. F., &amp; Kusuma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wa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ti, 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 (2019). Hubunga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Pola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 xml:space="preserve"> Ma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ka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Da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Ga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ya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 xml:space="preserve"> Hidup Denga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Ka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da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r 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sa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m Ura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t Pra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la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nsia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 xml:space="preserve"> Da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La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nsia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 xml:space="preserve"> Di Wila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ya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h Kerja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 xml:space="preserve"> Puskesma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s I Kemba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ra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Ba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nyuma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s, Ja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wa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 xml:space="preserve"> Tenga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h. Herb-Medicine Journa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l, 2(1).</w:t>
      </w:r>
    </w:p>
    <w:p>
      <w:pPr>
        <w:spacing w:line="276" w:lineRule="auto"/>
        <w:ind w:left="720" w:hanging="72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Riset Keseha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ta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Da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sa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r (Riskesda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s) (2018). Ba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da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Penelitia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da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Pengemba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nga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Keseha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ta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Kementeria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 RI ta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hun 2018. http://www.depkes.go.id/resources/downloa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d/infoterkini/ma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teri_ra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korpop_2018/Ha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sil%20Riskesda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s%202018.pdf – Dia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kses 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gustus 2018.</w:t>
      </w:r>
    </w:p>
    <w:p>
      <w:pPr>
        <w:spacing w:line="276"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World Hea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lth Orga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niza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tion (2017). Menta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l disorders fa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ct sheets. World Hea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lth Orga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niza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tion. http://www.who.int/media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centre/fa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ctsheets/fs396/en/-Dia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kses Ja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nua</w:t>
      </w:r>
      <w:r>
        <w:rPr>
          <w:rFonts w:ascii="Microsoft Himalaya" w:hAnsi="Microsoft Himalaya" w:cs="Times New Roman"/>
          <w:color w:val="D9D9D9" w:themeColor="background1" w:themeShade="D9"/>
          <w:sz w:val="5"/>
          <w:szCs w:val="24"/>
        </w:rPr>
        <w:t>|</w:t>
      </w:r>
      <w:r>
        <w:rPr>
          <w:rFonts w:ascii="Times New Roman" w:hAnsi="Times New Roman" w:cs="Times New Roman"/>
          <w:color w:val="000000" w:themeColor="text1"/>
          <w:sz w:val="24"/>
          <w:szCs w:val="24"/>
          <w14:textFill>
            <w14:solidFill>
              <w14:schemeClr w14:val="tx1"/>
            </w14:solidFill>
          </w14:textFill>
        </w:rPr>
        <w:t>ri 2018.</w:t>
      </w:r>
    </w:p>
    <w:p>
      <w:pPr>
        <w:spacing w:before="240" w:line="276" w:lineRule="auto"/>
        <w:jc w:val="both"/>
        <w:rPr>
          <w:rFonts w:ascii="Times New Roman" w:hAnsi="Times New Roman" w:cs="Times New Roman"/>
          <w:b/>
          <w:bCs/>
          <w:color w:val="000000" w:themeColor="text1"/>
          <w:sz w:val="24"/>
          <w:szCs w:val="24"/>
          <w:lang w:val="en-US"/>
          <w14:textFill>
            <w14:solidFill>
              <w14:schemeClr w14:val="tx1"/>
            </w14:solidFill>
          </w14:textFill>
        </w:rPr>
      </w:pPr>
    </w:p>
    <w:p>
      <w:pPr>
        <w:spacing w:line="240" w:lineRule="auto"/>
        <w:jc w:val="both"/>
        <w:rPr>
          <w:rFonts w:ascii="Times New Roman" w:hAnsi="Times New Roman" w:cs="Times New Roman"/>
          <w:b/>
          <w:color w:val="000000" w:themeColor="text1"/>
          <w:sz w:val="24"/>
          <w:szCs w:val="24"/>
          <w:lang w:val="en-US" w:eastAsia="id-ID"/>
          <w14:textFill>
            <w14:solidFill>
              <w14:schemeClr w14:val="tx1"/>
            </w14:solidFill>
          </w14:textFill>
        </w:rPr>
      </w:pPr>
    </w:p>
    <w:p/>
    <w:sectPr>
      <w:pgSz w:w="11906" w:h="16838"/>
      <w:pgMar w:top="1701" w:right="1701" w:bottom="1701" w:left="2268"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00"/>
    <w:family w:val="auto"/>
    <w:pitch w:val="default"/>
    <w:sig w:usb0="00000000" w:usb1="00000000" w:usb2="00000000" w:usb3="00000000" w:csb0="00000000" w:csb1="00000000"/>
  </w:font>
  <w:font w:name="Microsoft Himalaya">
    <w:panose1 w:val="01010100010101010101"/>
    <w:charset w:val="00"/>
    <w:family w:val="auto"/>
    <w:pitch w:val="default"/>
    <w:sig w:usb0="80000003" w:usb1="00010000" w:usb2="0000004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6" w:lineRule="auto"/>
      </w:pPr>
      <w:r>
        <w:separator/>
      </w:r>
    </w:p>
  </w:footnote>
  <w:footnote w:type="continuationSeparator" w:id="1">
    <w:p>
      <w:pPr>
        <w:spacing w:before="0" w:after="0" w:line="25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A89"/>
    <w:rsid w:val="00062B0B"/>
    <w:rsid w:val="000914F4"/>
    <w:rsid w:val="002730BC"/>
    <w:rsid w:val="003048FD"/>
    <w:rsid w:val="003A4A89"/>
    <w:rsid w:val="003C3551"/>
    <w:rsid w:val="003C4DED"/>
    <w:rsid w:val="00545B24"/>
    <w:rsid w:val="00563F58"/>
    <w:rsid w:val="00594EAF"/>
    <w:rsid w:val="005A6ABC"/>
    <w:rsid w:val="005D512F"/>
    <w:rsid w:val="00614147"/>
    <w:rsid w:val="00773497"/>
    <w:rsid w:val="00817E80"/>
    <w:rsid w:val="009F2E36"/>
    <w:rsid w:val="00A57F75"/>
    <w:rsid w:val="00A832B0"/>
    <w:rsid w:val="00B465F0"/>
    <w:rsid w:val="00BC48C9"/>
    <w:rsid w:val="00CD26E3"/>
    <w:rsid w:val="00D24E83"/>
    <w:rsid w:val="00D8004C"/>
    <w:rsid w:val="00E25714"/>
    <w:rsid w:val="00FF4304"/>
    <w:rsid w:val="60CC58AF"/>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6" w:lineRule="auto"/>
    </w:pPr>
    <w:rPr>
      <w:rFonts w:asciiTheme="minorHAnsi" w:hAnsiTheme="minorHAnsi" w:eastAsiaTheme="minorHAnsi" w:cstheme="minorBidi"/>
      <w:sz w:val="22"/>
      <w:szCs w:val="22"/>
      <w:lang w:val="id-ID"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HTML Preformatted"/>
    <w:basedOn w:val="1"/>
    <w:link w:val="8"/>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zh-CN" w:eastAsia="zh-CN"/>
    </w:rPr>
  </w:style>
  <w:style w:type="character" w:styleId="5">
    <w:name w:val="Hyperlink"/>
    <w:basedOn w:val="2"/>
    <w:unhideWhenUsed/>
    <w:qFormat/>
    <w:uiPriority w:val="99"/>
    <w:rPr>
      <w:color w:val="0563C1" w:themeColor="hyperlink"/>
      <w:u w:val="single"/>
      <w14:textFill>
        <w14:solidFill>
          <w14:schemeClr w14:val="hlink"/>
        </w14:solidFill>
      </w14:textFill>
    </w:rPr>
  </w:style>
  <w:style w:type="table" w:styleId="6">
    <w:name w:val="Table Grid"/>
    <w:basedOn w:val="3"/>
    <w:uiPriority w:val="3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Unresolved Mention"/>
    <w:basedOn w:val="2"/>
    <w:semiHidden/>
    <w:unhideWhenUsed/>
    <w:uiPriority w:val="99"/>
    <w:rPr>
      <w:color w:val="605E5C"/>
      <w:shd w:val="clear" w:color="auto" w:fill="E1DFDD"/>
    </w:rPr>
  </w:style>
  <w:style w:type="character" w:customStyle="1" w:styleId="8">
    <w:name w:val="HTML Preformatted Char"/>
    <w:basedOn w:val="2"/>
    <w:link w:val="4"/>
    <w:semiHidden/>
    <w:uiPriority w:val="99"/>
    <w:rPr>
      <w:rFonts w:ascii="Courier New" w:hAnsi="Courier New" w:eastAsia="Times New Roman" w:cs="Courier New"/>
      <w:sz w:val="20"/>
      <w:szCs w:val="20"/>
      <w:lang w:eastAsia="zh-CN"/>
    </w:rPr>
  </w:style>
  <w:style w:type="character" w:customStyle="1" w:styleId="9">
    <w:name w:val="y2iqfc"/>
    <w:basedOn w:val="2"/>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1648</Words>
  <Characters>9394</Characters>
  <Lines>78</Lines>
  <Paragraphs>22</Paragraphs>
  <TotalTime>96</TotalTime>
  <ScaleCrop>false</ScaleCrop>
  <LinksUpToDate>false</LinksUpToDate>
  <CharactersWithSpaces>11020</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2023-03-21T04:19:00Z</dcterms:created>
  <dc:creator>acer.62a2@outlook.com</dc:creator>
  <cp:lastModifiedBy>Biang Teknologi</cp:lastModifiedBy>
  <dcterms:modified xsi:type="dcterms:W3CDTF">2023-08-12T08:12:54Z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1702118BFA174D608F2CD21130240F78</vt:lpwstr>
  </property>
</Properties>
</file>