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CB8" w:rsidRDefault="002D2CB8" w:rsidP="009D435A">
      <w:pPr>
        <w:pStyle w:val="IEEETitle"/>
        <w:tabs>
          <w:tab w:val="left" w:pos="1014"/>
          <w:tab w:val="center" w:pos="5017"/>
        </w:tabs>
        <w:rPr>
          <w:rStyle w:val="shorttext"/>
          <w:rFonts w:ascii="Arial" w:hAnsi="Arial" w:cs="Arial"/>
          <w:b/>
          <w:sz w:val="28"/>
          <w:szCs w:val="28"/>
          <w:shd w:val="clear" w:color="auto" w:fill="FFFFFF"/>
          <w:lang w:val="id-ID"/>
        </w:rPr>
      </w:pPr>
    </w:p>
    <w:p w:rsidR="00D41274" w:rsidRPr="001C0CCC" w:rsidRDefault="00822D86" w:rsidP="002D2CB8">
      <w:pPr>
        <w:pStyle w:val="IEEETitle"/>
        <w:tabs>
          <w:tab w:val="left" w:pos="1014"/>
          <w:tab w:val="center" w:pos="5017"/>
        </w:tabs>
        <w:rPr>
          <w:rStyle w:val="shorttext"/>
          <w:rFonts w:ascii="Arial" w:hAnsi="Arial" w:cs="Arial"/>
          <w:b/>
          <w:sz w:val="32"/>
          <w:szCs w:val="32"/>
          <w:shd w:val="clear" w:color="auto" w:fill="FFFFFF"/>
          <w:lang w:val="en-US"/>
        </w:rPr>
      </w:pPr>
      <w:r w:rsidRPr="00822D86">
        <w:rPr>
          <w:rStyle w:val="shorttext"/>
          <w:rFonts w:ascii="Arial" w:hAnsi="Arial" w:cs="Arial"/>
          <w:b/>
          <w:sz w:val="28"/>
          <w:szCs w:val="28"/>
          <w:shd w:val="clear" w:color="auto" w:fill="FFFFFF"/>
          <w:lang w:val="id-ID"/>
        </w:rPr>
        <w:t xml:space="preserve">INTERVENSI DETEKSI DINI FAKTOR RISIKO PENYAKIT TIDAK MENULAR PADA REMAJA MELALUI PEMERIKSAAN KESEHATAN </w:t>
      </w:r>
    </w:p>
    <w:p w:rsidR="00B96636" w:rsidRDefault="00B96636" w:rsidP="002D2CB8">
      <w:pPr>
        <w:rPr>
          <w:rFonts w:ascii="Arial" w:hAnsi="Arial" w:cs="Arial"/>
          <w:lang w:val="id-ID"/>
        </w:rPr>
      </w:pPr>
    </w:p>
    <w:p w:rsidR="00822D86" w:rsidRDefault="00822D86" w:rsidP="002D2CB8">
      <w:pPr>
        <w:jc w:val="center"/>
        <w:rPr>
          <w:rFonts w:ascii="Arial" w:hAnsi="Arial" w:cs="Arial"/>
          <w:b/>
          <w:lang w:val="en-US"/>
        </w:rPr>
      </w:pPr>
      <w:r>
        <w:rPr>
          <w:rFonts w:ascii="Arial" w:hAnsi="Arial" w:cs="Arial"/>
          <w:b/>
          <w:lang w:val="en-US"/>
        </w:rPr>
        <w:t>Amalia Fatarani</w:t>
      </w:r>
      <w:r w:rsidR="008266B1" w:rsidRPr="008266B1">
        <w:rPr>
          <w:rFonts w:ascii="Arial" w:hAnsi="Arial" w:cs="Arial"/>
          <w:b/>
          <w:vertAlign w:val="superscript"/>
          <w:lang w:val="en-US"/>
        </w:rPr>
        <w:t>1</w:t>
      </w:r>
      <w:r>
        <w:rPr>
          <w:rFonts w:ascii="Arial" w:hAnsi="Arial" w:cs="Arial"/>
          <w:b/>
          <w:lang w:val="en-US"/>
        </w:rPr>
        <w:t>, Inna Fatkhulil janah</w:t>
      </w:r>
      <w:r w:rsidR="008266B1" w:rsidRPr="008266B1">
        <w:rPr>
          <w:rFonts w:ascii="Arial" w:hAnsi="Arial" w:cs="Arial"/>
          <w:b/>
          <w:vertAlign w:val="superscript"/>
          <w:lang w:val="en-US"/>
        </w:rPr>
        <w:t>2</w:t>
      </w:r>
      <w:r>
        <w:rPr>
          <w:rFonts w:ascii="Arial" w:hAnsi="Arial" w:cs="Arial"/>
          <w:b/>
          <w:lang w:val="en-US"/>
        </w:rPr>
        <w:t xml:space="preserve">, </w:t>
      </w:r>
      <w:r w:rsidR="008266B1">
        <w:rPr>
          <w:rFonts w:ascii="Arial" w:hAnsi="Arial" w:cs="Arial"/>
          <w:b/>
          <w:lang w:val="en-US"/>
        </w:rPr>
        <w:t>Putri Meria Andani</w:t>
      </w:r>
      <w:r w:rsidR="008266B1" w:rsidRPr="008266B1">
        <w:rPr>
          <w:rFonts w:ascii="Arial" w:hAnsi="Arial" w:cs="Arial"/>
          <w:b/>
          <w:vertAlign w:val="superscript"/>
          <w:lang w:val="en-US"/>
        </w:rPr>
        <w:t>3</w:t>
      </w:r>
      <w:r>
        <w:rPr>
          <w:rFonts w:ascii="Arial" w:hAnsi="Arial" w:cs="Arial"/>
          <w:b/>
          <w:lang w:val="en-US"/>
        </w:rPr>
        <w:t>,</w:t>
      </w:r>
      <w:r w:rsidR="008266B1">
        <w:rPr>
          <w:rFonts w:ascii="Arial" w:hAnsi="Arial" w:cs="Arial"/>
          <w:b/>
          <w:lang w:val="en-US"/>
        </w:rPr>
        <w:t xml:space="preserve"> Aulia Rahmawati</w:t>
      </w:r>
      <w:r w:rsidR="008266B1" w:rsidRPr="008266B1">
        <w:rPr>
          <w:rFonts w:ascii="Arial" w:hAnsi="Arial" w:cs="Arial"/>
          <w:b/>
          <w:vertAlign w:val="superscript"/>
          <w:lang w:val="en-US"/>
        </w:rPr>
        <w:t>4</w:t>
      </w:r>
      <w:r w:rsidR="008266B1">
        <w:rPr>
          <w:rFonts w:ascii="Arial" w:hAnsi="Arial" w:cs="Arial"/>
          <w:b/>
          <w:lang w:val="en-US"/>
        </w:rPr>
        <w:t xml:space="preserve">, </w:t>
      </w:r>
      <w:r>
        <w:rPr>
          <w:rFonts w:ascii="Arial" w:hAnsi="Arial" w:cs="Arial"/>
          <w:b/>
          <w:lang w:val="en-US"/>
        </w:rPr>
        <w:t>Ratna Kurniawati</w:t>
      </w:r>
      <w:r w:rsidR="008266B1" w:rsidRPr="008266B1">
        <w:rPr>
          <w:rFonts w:ascii="Arial" w:hAnsi="Arial" w:cs="Arial"/>
          <w:b/>
          <w:vertAlign w:val="superscript"/>
          <w:lang w:val="en-US"/>
        </w:rPr>
        <w:t>5</w:t>
      </w:r>
    </w:p>
    <w:p w:rsidR="008266B1" w:rsidRPr="002D2CB8" w:rsidRDefault="00F66CC2" w:rsidP="002D2CB8">
      <w:pPr>
        <w:jc w:val="center"/>
        <w:rPr>
          <w:rFonts w:ascii="Arial" w:hAnsi="Arial" w:cs="Arial"/>
          <w:sz w:val="20"/>
          <w:szCs w:val="20"/>
        </w:rPr>
      </w:pPr>
      <w:r w:rsidRPr="002D2CB8">
        <w:rPr>
          <w:rFonts w:ascii="Arial" w:hAnsi="Arial" w:cs="Arial"/>
          <w:sz w:val="20"/>
          <w:szCs w:val="20"/>
          <w:vertAlign w:val="superscript"/>
        </w:rPr>
        <w:t>1</w:t>
      </w:r>
      <w:r w:rsidR="00DE3661" w:rsidRPr="002D2CB8">
        <w:rPr>
          <w:rFonts w:ascii="Arial" w:hAnsi="Arial" w:cs="Arial"/>
          <w:sz w:val="20"/>
          <w:szCs w:val="20"/>
          <w:vertAlign w:val="superscript"/>
        </w:rPr>
        <w:t>,</w:t>
      </w:r>
      <w:r w:rsidR="008266B1" w:rsidRPr="002D2CB8">
        <w:rPr>
          <w:rFonts w:ascii="Arial" w:hAnsi="Arial" w:cs="Arial"/>
          <w:sz w:val="20"/>
          <w:szCs w:val="20"/>
          <w:vertAlign w:val="superscript"/>
        </w:rPr>
        <w:t>2,3</w:t>
      </w:r>
      <w:r w:rsidR="00DE3661" w:rsidRPr="002D2CB8">
        <w:rPr>
          <w:rFonts w:ascii="Arial" w:hAnsi="Arial" w:cs="Arial"/>
          <w:sz w:val="20"/>
          <w:szCs w:val="20"/>
          <w:vertAlign w:val="superscript"/>
        </w:rPr>
        <w:t>,</w:t>
      </w:r>
      <w:r w:rsidR="008266B1" w:rsidRPr="002D2CB8">
        <w:rPr>
          <w:rFonts w:ascii="Arial" w:hAnsi="Arial" w:cs="Arial"/>
          <w:sz w:val="20"/>
          <w:szCs w:val="20"/>
          <w:vertAlign w:val="superscript"/>
        </w:rPr>
        <w:t>4</w:t>
      </w:r>
      <w:r w:rsidR="00DE3661" w:rsidRPr="002D2CB8">
        <w:rPr>
          <w:rFonts w:ascii="Arial" w:hAnsi="Arial" w:cs="Arial"/>
          <w:sz w:val="20"/>
          <w:szCs w:val="20"/>
        </w:rPr>
        <w:t>Mahasiswa A</w:t>
      </w:r>
      <w:r w:rsidR="00BA1449" w:rsidRPr="002D2CB8">
        <w:rPr>
          <w:rFonts w:ascii="Arial" w:hAnsi="Arial" w:cs="Arial"/>
          <w:sz w:val="20"/>
          <w:szCs w:val="20"/>
        </w:rPr>
        <w:t>kper A</w:t>
      </w:r>
      <w:r w:rsidR="0015489E" w:rsidRPr="002D2CB8">
        <w:rPr>
          <w:rFonts w:ascii="Arial" w:hAnsi="Arial" w:cs="Arial"/>
          <w:sz w:val="20"/>
          <w:szCs w:val="20"/>
        </w:rPr>
        <w:t>lkautsar Temanggung</w:t>
      </w:r>
      <w:r w:rsidR="00BA1449" w:rsidRPr="002D2CB8">
        <w:rPr>
          <w:sz w:val="20"/>
          <w:szCs w:val="20"/>
        </w:rPr>
        <w:t xml:space="preserve">, </w:t>
      </w:r>
      <w:hyperlink r:id="rId8" w:history="1">
        <w:r w:rsidR="00675523" w:rsidRPr="002D2CB8">
          <w:rPr>
            <w:rStyle w:val="Hyperlink"/>
            <w:sz w:val="20"/>
            <w:szCs w:val="20"/>
            <w:u w:val="none"/>
          </w:rPr>
          <w:t>amaliafatharani53@gmail.com</w:t>
        </w:r>
      </w:hyperlink>
      <w:r w:rsidR="00675523" w:rsidRPr="002D2CB8">
        <w:rPr>
          <w:sz w:val="20"/>
          <w:szCs w:val="20"/>
        </w:rPr>
        <w:t xml:space="preserve">, </w:t>
      </w:r>
    </w:p>
    <w:p w:rsidR="00675523" w:rsidRPr="002D2CB8" w:rsidRDefault="00BA1449" w:rsidP="002D2CB8">
      <w:pPr>
        <w:jc w:val="center"/>
        <w:rPr>
          <w:rStyle w:val="Hyperlink"/>
          <w:rFonts w:ascii="Arial" w:hAnsi="Arial" w:cs="Arial"/>
          <w:color w:val="auto"/>
          <w:sz w:val="20"/>
          <w:szCs w:val="20"/>
          <w:u w:val="none"/>
        </w:rPr>
      </w:pPr>
      <w:r w:rsidRPr="002D2CB8">
        <w:rPr>
          <w:rFonts w:ascii="Arial" w:hAnsi="Arial" w:cs="Arial"/>
          <w:sz w:val="20"/>
          <w:szCs w:val="20"/>
        </w:rPr>
        <w:t xml:space="preserve"> </w:t>
      </w:r>
      <w:r w:rsidR="008266B1" w:rsidRPr="002D2CB8">
        <w:rPr>
          <w:rFonts w:ascii="Arial" w:hAnsi="Arial" w:cs="Arial"/>
          <w:sz w:val="20"/>
          <w:szCs w:val="20"/>
          <w:vertAlign w:val="superscript"/>
        </w:rPr>
        <w:t>5</w:t>
      </w:r>
      <w:r w:rsidR="008266B1" w:rsidRPr="002D2CB8">
        <w:rPr>
          <w:rFonts w:ascii="Arial" w:hAnsi="Arial" w:cs="Arial"/>
          <w:sz w:val="20"/>
          <w:szCs w:val="20"/>
        </w:rPr>
        <w:t xml:space="preserve">Dosen Akper Alkautsar Temanggung, </w:t>
      </w:r>
      <w:hyperlink r:id="rId9" w:history="1">
        <w:r w:rsidRPr="002D2CB8">
          <w:rPr>
            <w:rStyle w:val="Hyperlink"/>
            <w:rFonts w:ascii="Arial" w:hAnsi="Arial" w:cs="Arial"/>
            <w:color w:val="auto"/>
            <w:sz w:val="20"/>
            <w:szCs w:val="20"/>
            <w:u w:val="none"/>
          </w:rPr>
          <w:t>ratnaummudzaky@gmail.com</w:t>
        </w:r>
      </w:hyperlink>
    </w:p>
    <w:p w:rsidR="009D3C51" w:rsidRPr="002D2CB8" w:rsidRDefault="00675523" w:rsidP="002D2CB8">
      <w:pPr>
        <w:jc w:val="center"/>
        <w:rPr>
          <w:rStyle w:val="Hyperlink"/>
          <w:rFonts w:ascii="Arial" w:hAnsi="Arial" w:cs="Arial"/>
          <w:color w:val="auto"/>
          <w:sz w:val="20"/>
          <w:szCs w:val="20"/>
          <w:u w:val="none"/>
        </w:rPr>
      </w:pPr>
      <w:r w:rsidRPr="002D2CB8">
        <w:rPr>
          <w:rStyle w:val="Hyperlink"/>
          <w:rFonts w:ascii="Arial" w:hAnsi="Arial" w:cs="Arial"/>
          <w:color w:val="auto"/>
          <w:sz w:val="20"/>
          <w:szCs w:val="20"/>
          <w:u w:val="none"/>
        </w:rPr>
        <w:t xml:space="preserve"> </w:t>
      </w:r>
      <w:r w:rsidR="00717C1C" w:rsidRPr="002D2CB8">
        <w:rPr>
          <w:rStyle w:val="Hyperlink"/>
          <w:rFonts w:ascii="Arial" w:hAnsi="Arial" w:cs="Arial"/>
          <w:b/>
          <w:color w:val="auto"/>
          <w:sz w:val="20"/>
          <w:szCs w:val="20"/>
          <w:u w:val="none"/>
        </w:rPr>
        <w:t>Email Korespondensi</w:t>
      </w:r>
      <w:r w:rsidR="00717C1C" w:rsidRPr="002D2CB8">
        <w:rPr>
          <w:rStyle w:val="Hyperlink"/>
          <w:rFonts w:ascii="Arial" w:hAnsi="Arial" w:cs="Arial"/>
          <w:color w:val="auto"/>
          <w:sz w:val="20"/>
          <w:szCs w:val="20"/>
          <w:u w:val="none"/>
        </w:rPr>
        <w:t xml:space="preserve"> : </w:t>
      </w:r>
      <w:hyperlink r:id="rId10" w:history="1">
        <w:r w:rsidR="00717C1C" w:rsidRPr="002D2CB8">
          <w:rPr>
            <w:rStyle w:val="Hyperlink"/>
            <w:rFonts w:ascii="Arial" w:hAnsi="Arial" w:cs="Arial"/>
            <w:color w:val="auto"/>
            <w:sz w:val="20"/>
            <w:szCs w:val="20"/>
            <w:u w:val="none"/>
          </w:rPr>
          <w:t>ratnaummudzaky@gmail.com</w:t>
        </w:r>
      </w:hyperlink>
      <w:r w:rsidR="00717C1C" w:rsidRPr="002D2CB8">
        <w:rPr>
          <w:rStyle w:val="Hyperlink"/>
          <w:rFonts w:ascii="Arial" w:hAnsi="Arial" w:cs="Arial"/>
          <w:color w:val="auto"/>
          <w:sz w:val="20"/>
          <w:szCs w:val="20"/>
          <w:u w:val="none"/>
        </w:rPr>
        <w:t xml:space="preserve"> </w:t>
      </w:r>
    </w:p>
    <w:p w:rsidR="00184864" w:rsidRPr="00717C1C" w:rsidRDefault="00184864" w:rsidP="00717C1C">
      <w:pPr>
        <w:jc w:val="center"/>
        <w:rPr>
          <w:rFonts w:ascii="Arial" w:hAnsi="Arial" w:cs="Arial"/>
          <w:sz w:val="20"/>
          <w:szCs w:val="20"/>
        </w:rPr>
      </w:pPr>
    </w:p>
    <w:tbl>
      <w:tblPr>
        <w:tblStyle w:val="TableGrid"/>
        <w:tblW w:w="8459" w:type="dxa"/>
        <w:jc w:val="center"/>
        <w:tblLook w:val="04A0" w:firstRow="1" w:lastRow="0" w:firstColumn="1" w:lastColumn="0" w:noHBand="0" w:noVBand="1"/>
      </w:tblPr>
      <w:tblGrid>
        <w:gridCol w:w="1243"/>
        <w:gridCol w:w="3033"/>
        <w:gridCol w:w="4161"/>
        <w:gridCol w:w="22"/>
      </w:tblGrid>
      <w:tr w:rsidR="00BF5282" w:rsidRPr="001C0CCC" w:rsidTr="00005CE1">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rsidR="00BF5282" w:rsidRPr="001C0CCC" w:rsidRDefault="00BF5282" w:rsidP="009D435A">
            <w:pPr>
              <w:jc w:val="center"/>
              <w:rPr>
                <w:rFonts w:ascii="Arial" w:hAnsi="Arial" w:cs="Arial"/>
                <w:color w:val="000000"/>
                <w:sz w:val="20"/>
                <w:szCs w:val="20"/>
              </w:rPr>
            </w:pPr>
            <w:r w:rsidRPr="001C0CCC">
              <w:rPr>
                <w:rFonts w:ascii="Arial" w:hAnsi="Arial" w:cs="Arial"/>
                <w:b/>
                <w:bCs/>
                <w:iCs/>
                <w:color w:val="000000"/>
                <w:sz w:val="20"/>
                <w:szCs w:val="20"/>
              </w:rPr>
              <w:t>ABSTRAK</w:t>
            </w:r>
          </w:p>
        </w:tc>
      </w:tr>
      <w:tr w:rsidR="00BF5282" w:rsidRPr="001C0CCC" w:rsidTr="002D2CB8">
        <w:trPr>
          <w:gridAfter w:val="1"/>
          <w:wAfter w:w="22" w:type="dxa"/>
          <w:trHeight w:val="559"/>
          <w:jc w:val="center"/>
        </w:trPr>
        <w:tc>
          <w:tcPr>
            <w:tcW w:w="8437" w:type="dxa"/>
            <w:gridSpan w:val="3"/>
            <w:vMerge w:val="restart"/>
            <w:tcBorders>
              <w:top w:val="single" w:sz="4" w:space="0" w:color="auto"/>
              <w:left w:val="nil"/>
              <w:right w:val="nil"/>
            </w:tcBorders>
          </w:tcPr>
          <w:p w:rsidR="00627D1F" w:rsidRPr="00C8271C" w:rsidRDefault="00627D1F" w:rsidP="002D2CB8">
            <w:pPr>
              <w:jc w:val="both"/>
              <w:rPr>
                <w:rFonts w:ascii="Arial" w:hAnsi="Arial" w:cs="Arial"/>
                <w:iCs/>
                <w:sz w:val="20"/>
                <w:szCs w:val="20"/>
                <w:lang w:val="id-ID"/>
              </w:rPr>
            </w:pPr>
            <w:r w:rsidRPr="00C8271C">
              <w:rPr>
                <w:rFonts w:ascii="Arial" w:hAnsi="Arial" w:cs="Arial"/>
                <w:iCs/>
                <w:sz w:val="20"/>
                <w:szCs w:val="20"/>
                <w:lang w:val="id-ID"/>
              </w:rPr>
              <w:t>Penyakit Tidak Menular (PTM) menjadi masalah kesehatan global dengan tren peningkatan pada kelompok usia remaja akibat faktor risiko perilaku seperti pola makan tidak sehat, kurang aktivitas fisik, dan obesitas. Kegiatan pengabdian kepada masyarakat ini bertujuan melakukan deteksi dini faktor risiko PTM melalui pemeriksaan kesehatan gratis pada remaja di SMK HKTI Temanggung, Jawa Tengah. Kegiatan dilaksanakan selama 12–14 Agustus 2024 dengan sasaran siswa, guru, dan karyawan sekolah. Pemeriksaan meliputi tekanan darah, kadar gula darah sewaktu, dan berat badan.</w:t>
            </w:r>
            <w:r w:rsidR="00496088" w:rsidRPr="00C8271C">
              <w:rPr>
                <w:rFonts w:ascii="Arial" w:hAnsi="Arial" w:cs="Arial"/>
                <w:iCs/>
                <w:sz w:val="20"/>
                <w:szCs w:val="20"/>
                <w:lang w:val="en-US"/>
              </w:rPr>
              <w:t xml:space="preserve"> </w:t>
            </w:r>
            <w:r w:rsidRPr="00C8271C">
              <w:rPr>
                <w:rFonts w:ascii="Arial" w:hAnsi="Arial" w:cs="Arial"/>
                <w:iCs/>
                <w:sz w:val="20"/>
                <w:szCs w:val="20"/>
                <w:lang w:val="en-US"/>
              </w:rPr>
              <w:t>Hasilnya, s</w:t>
            </w:r>
            <w:r w:rsidRPr="00C8271C">
              <w:rPr>
                <w:rFonts w:ascii="Arial" w:hAnsi="Arial" w:cs="Arial"/>
                <w:iCs/>
                <w:sz w:val="20"/>
                <w:szCs w:val="20"/>
                <w:lang w:val="id-ID"/>
              </w:rPr>
              <w:t>ebanyak 52 siswa mengikuti pemeriksaan tekanan darah, dengan hasil 28,8% kategori normal, 11,5% elevated, 32,7% hipertensi tahap 1, dan 26,9% hipertensi tahap 2. Pemeriksaan gula darah diikuti 27 siswa dengan rentang 79–142 mg/dL; sebagian besar dalam bat</w:t>
            </w:r>
            <w:r w:rsidRPr="00C8271C">
              <w:rPr>
                <w:rFonts w:ascii="Arial" w:hAnsi="Arial" w:cs="Arial" w:hint="eastAsia"/>
                <w:iCs/>
                <w:sz w:val="20"/>
                <w:szCs w:val="20"/>
                <w:lang w:val="id-ID"/>
              </w:rPr>
              <w:t xml:space="preserve">as normal, namun terdapat satu siswa dengan nilai </w:t>
            </w:r>
            <w:r w:rsidRPr="00C8271C">
              <w:rPr>
                <w:rFonts w:ascii="Arial" w:hAnsi="Arial" w:cs="Arial" w:hint="eastAsia"/>
                <w:iCs/>
                <w:sz w:val="20"/>
                <w:szCs w:val="20"/>
                <w:lang w:val="id-ID"/>
              </w:rPr>
              <w:t>≥</w:t>
            </w:r>
            <w:r w:rsidRPr="00C8271C">
              <w:rPr>
                <w:rFonts w:ascii="Arial" w:hAnsi="Arial" w:cs="Arial" w:hint="eastAsia"/>
                <w:iCs/>
                <w:sz w:val="20"/>
                <w:szCs w:val="20"/>
                <w:lang w:val="id-ID"/>
              </w:rPr>
              <w:t>140 mg/dL yang mengarah ke prediabetes. Pemeriksaan berat badan pada 36 siswa menunjukkan variasi 37</w:t>
            </w:r>
            <w:r w:rsidRPr="00C8271C">
              <w:rPr>
                <w:rFonts w:ascii="Arial" w:hAnsi="Arial" w:cs="Arial" w:hint="eastAsia"/>
                <w:iCs/>
                <w:sz w:val="20"/>
                <w:szCs w:val="20"/>
                <w:lang w:val="id-ID"/>
              </w:rPr>
              <w:t>–</w:t>
            </w:r>
            <w:r w:rsidRPr="00C8271C">
              <w:rPr>
                <w:rFonts w:ascii="Arial" w:hAnsi="Arial" w:cs="Arial" w:hint="eastAsia"/>
                <w:iCs/>
                <w:sz w:val="20"/>
                <w:szCs w:val="20"/>
                <w:lang w:val="id-ID"/>
              </w:rPr>
              <w:t>93 kg, dengan indikasi potensi gizi lebih dan gizi kurang pada sebagian kecil siswa.</w:t>
            </w:r>
            <w:r w:rsidR="00496088" w:rsidRPr="00C8271C">
              <w:rPr>
                <w:rFonts w:ascii="Arial" w:hAnsi="Arial" w:cs="Arial"/>
                <w:iCs/>
                <w:sz w:val="20"/>
                <w:szCs w:val="20"/>
                <w:lang w:val="en-US"/>
              </w:rPr>
              <w:t xml:space="preserve"> Gambaran</w:t>
            </w:r>
            <w:r w:rsidRPr="00C8271C">
              <w:rPr>
                <w:rFonts w:ascii="Arial" w:hAnsi="Arial" w:cs="Arial"/>
                <w:iCs/>
                <w:sz w:val="20"/>
                <w:szCs w:val="20"/>
                <w:lang w:val="id-ID"/>
              </w:rPr>
              <w:t xml:space="preserve"> ini menunjukkan bahwa meskipun secara umum kondisi kesehatan remaja tergolong cukup baik, telah ditemukan indikasi dini faktor risiko PTM, khususnya hipertensi. Oleh karena itu, diperlukan </w:t>
            </w:r>
            <w:r w:rsidR="002D2CB8">
              <w:rPr>
                <w:rFonts w:ascii="Arial" w:hAnsi="Arial" w:cs="Arial"/>
                <w:iCs/>
                <w:sz w:val="20"/>
                <w:szCs w:val="20"/>
                <w:lang w:val="id-ID"/>
              </w:rPr>
              <w:t xml:space="preserve">pemantauan berkala </w:t>
            </w:r>
            <w:r w:rsidRPr="00C8271C">
              <w:rPr>
                <w:rFonts w:ascii="Arial" w:hAnsi="Arial" w:cs="Arial"/>
                <w:iCs/>
                <w:sz w:val="20"/>
                <w:szCs w:val="20"/>
                <w:lang w:val="id-ID"/>
              </w:rPr>
              <w:t>di lingkungan sekolah untuk mencegah perkembangan PTM sejak usia remaja.</w:t>
            </w:r>
          </w:p>
          <w:p w:rsidR="00627D1F" w:rsidRPr="00C8271C" w:rsidRDefault="00627D1F" w:rsidP="002D2CB8">
            <w:pPr>
              <w:jc w:val="both"/>
              <w:rPr>
                <w:rFonts w:ascii="Arial" w:hAnsi="Arial" w:cs="Arial"/>
                <w:iCs/>
                <w:sz w:val="20"/>
                <w:szCs w:val="20"/>
                <w:lang w:val="id-ID"/>
              </w:rPr>
            </w:pPr>
          </w:p>
          <w:p w:rsidR="00627D1F" w:rsidRDefault="00627D1F" w:rsidP="002D2CB8">
            <w:pPr>
              <w:jc w:val="both"/>
              <w:rPr>
                <w:rFonts w:ascii="Arial" w:hAnsi="Arial" w:cs="Arial"/>
                <w:iCs/>
                <w:sz w:val="20"/>
                <w:szCs w:val="20"/>
                <w:lang w:val="en-US"/>
              </w:rPr>
            </w:pPr>
            <w:r w:rsidRPr="00C8271C">
              <w:rPr>
                <w:rFonts w:ascii="Arial" w:hAnsi="Arial" w:cs="Arial"/>
                <w:b/>
                <w:iCs/>
                <w:sz w:val="20"/>
                <w:szCs w:val="20"/>
                <w:lang w:val="id-ID"/>
              </w:rPr>
              <w:t>Kata kunci:</w:t>
            </w:r>
            <w:r w:rsidRPr="00C8271C">
              <w:rPr>
                <w:rFonts w:ascii="Arial" w:hAnsi="Arial" w:cs="Arial"/>
                <w:iCs/>
                <w:sz w:val="20"/>
                <w:szCs w:val="20"/>
                <w:lang w:val="id-ID"/>
              </w:rPr>
              <w:t xml:space="preserve"> dete</w:t>
            </w:r>
            <w:r w:rsidR="00496088" w:rsidRPr="00C8271C">
              <w:rPr>
                <w:rFonts w:ascii="Arial" w:hAnsi="Arial" w:cs="Arial"/>
                <w:iCs/>
                <w:sz w:val="20"/>
                <w:szCs w:val="20"/>
                <w:lang w:val="id-ID"/>
              </w:rPr>
              <w:t>ksi dini</w:t>
            </w:r>
            <w:r w:rsidR="00496088" w:rsidRPr="00C8271C">
              <w:rPr>
                <w:rFonts w:ascii="Arial" w:hAnsi="Arial" w:cs="Arial"/>
                <w:iCs/>
                <w:sz w:val="20"/>
                <w:szCs w:val="20"/>
                <w:lang w:val="en-US"/>
              </w:rPr>
              <w:t>;</w:t>
            </w:r>
            <w:r w:rsidR="00496088" w:rsidRPr="00C8271C">
              <w:rPr>
                <w:rFonts w:ascii="Arial" w:hAnsi="Arial" w:cs="Arial"/>
                <w:iCs/>
                <w:sz w:val="20"/>
                <w:szCs w:val="20"/>
                <w:lang w:val="id-ID"/>
              </w:rPr>
              <w:t xml:space="preserve"> PTM; pemeriksaan kesehatan;</w:t>
            </w:r>
            <w:r w:rsidR="00496088" w:rsidRPr="00C8271C">
              <w:rPr>
                <w:rFonts w:ascii="Arial" w:hAnsi="Arial" w:cs="Arial"/>
                <w:iCs/>
                <w:sz w:val="20"/>
                <w:szCs w:val="20"/>
                <w:lang w:val="en-US"/>
              </w:rPr>
              <w:t xml:space="preserve"> </w:t>
            </w:r>
            <w:r w:rsidR="00C8271C">
              <w:rPr>
                <w:rFonts w:ascii="Arial" w:hAnsi="Arial" w:cs="Arial"/>
                <w:iCs/>
                <w:sz w:val="20"/>
                <w:szCs w:val="20"/>
                <w:lang w:val="en-US"/>
              </w:rPr>
              <w:t>remaja</w:t>
            </w:r>
          </w:p>
          <w:p w:rsidR="00C8271C" w:rsidRPr="00C8271C" w:rsidRDefault="00C8271C" w:rsidP="002D2CB8">
            <w:pPr>
              <w:jc w:val="center"/>
              <w:rPr>
                <w:rFonts w:ascii="Arial" w:hAnsi="Arial" w:cs="Arial"/>
                <w:b/>
                <w:iCs/>
                <w:sz w:val="20"/>
                <w:szCs w:val="20"/>
                <w:lang w:val="en-US"/>
              </w:rPr>
            </w:pPr>
          </w:p>
          <w:p w:rsidR="00C8271C" w:rsidRPr="00C8271C" w:rsidRDefault="00C8271C" w:rsidP="002D2CB8">
            <w:pPr>
              <w:jc w:val="center"/>
              <w:rPr>
                <w:rFonts w:ascii="Arial" w:hAnsi="Arial" w:cs="Arial"/>
                <w:b/>
                <w:iCs/>
                <w:sz w:val="20"/>
                <w:szCs w:val="20"/>
                <w:lang w:val="en-US"/>
              </w:rPr>
            </w:pPr>
            <w:r w:rsidRPr="00C8271C">
              <w:rPr>
                <w:rFonts w:ascii="Arial" w:hAnsi="Arial" w:cs="Arial"/>
                <w:b/>
                <w:iCs/>
                <w:sz w:val="20"/>
                <w:szCs w:val="20"/>
                <w:lang w:val="en-US"/>
              </w:rPr>
              <w:t>Intervention for Early Detection of Non-Communicable Disease Risk Factors Among Adolescents Through Health Screening Programs</w:t>
            </w:r>
          </w:p>
          <w:p w:rsidR="00BF5282" w:rsidRPr="002D2CB8" w:rsidRDefault="00BF5282" w:rsidP="002D2CB8">
            <w:pPr>
              <w:jc w:val="center"/>
              <w:rPr>
                <w:rFonts w:ascii="Arial" w:hAnsi="Arial" w:cs="Arial"/>
                <w:b/>
                <w:i/>
                <w:sz w:val="20"/>
                <w:szCs w:val="20"/>
                <w:lang w:val="en-US"/>
              </w:rPr>
            </w:pPr>
            <w:r w:rsidRPr="002D2CB8">
              <w:rPr>
                <w:rFonts w:ascii="Arial" w:hAnsi="Arial" w:cs="Arial"/>
                <w:b/>
                <w:i/>
                <w:sz w:val="20"/>
                <w:szCs w:val="20"/>
                <w:lang w:val="en-US"/>
              </w:rPr>
              <w:t>Abstract</w:t>
            </w:r>
          </w:p>
          <w:p w:rsidR="00C8271C" w:rsidRPr="00C8271C" w:rsidRDefault="00C8271C" w:rsidP="002D2CB8">
            <w:pPr>
              <w:jc w:val="both"/>
              <w:rPr>
                <w:rFonts w:ascii="Arial" w:hAnsi="Arial" w:cs="Arial"/>
                <w:i/>
                <w:sz w:val="20"/>
                <w:szCs w:val="20"/>
                <w:lang w:val="en-US"/>
              </w:rPr>
            </w:pPr>
            <w:r w:rsidRPr="00C8271C">
              <w:rPr>
                <w:rFonts w:ascii="Arial" w:hAnsi="Arial" w:cs="Arial"/>
                <w:i/>
                <w:sz w:val="20"/>
                <w:szCs w:val="20"/>
                <w:lang w:val="en-US"/>
              </w:rPr>
              <w:t>Non-Communicable Diseases (NCDs) have become a global health problem with an increasing trend among adolescents due to behavioral risk factors such as unhealthy dietary patterns, physical inactivity, and obesity. This community service activity aimed to conduct early detection of NCD risk factors through free health screenings for adolescents at SMK HKTI Temanggung, Central Java. The activity was carried out from August 12–14, 2024, targeting students, teachers, and school staff. The examinations included blood pressure measurement, random blood glucose testing, and body weight assessment. A total of 52 students participated in the blood pressure screening, with results showing 28.8% in the normal category, 11.5% elevated, 32.7% stage 1 hypertension, and 26.9% stage 2 hypertension. Random blood glucose testing was conducted on 27 students, w</w:t>
            </w:r>
            <w:r w:rsidRPr="00C8271C">
              <w:rPr>
                <w:rFonts w:ascii="Arial" w:hAnsi="Arial" w:cs="Arial" w:hint="eastAsia"/>
                <w:i/>
                <w:sz w:val="20"/>
                <w:szCs w:val="20"/>
                <w:lang w:val="en-US"/>
              </w:rPr>
              <w:t>ith values ranging from 79</w:t>
            </w:r>
            <w:r w:rsidRPr="00C8271C">
              <w:rPr>
                <w:rFonts w:ascii="Arial" w:hAnsi="Arial" w:cs="Arial" w:hint="eastAsia"/>
                <w:i/>
                <w:sz w:val="20"/>
                <w:szCs w:val="20"/>
                <w:lang w:val="en-US"/>
              </w:rPr>
              <w:t>–</w:t>
            </w:r>
            <w:r w:rsidRPr="00C8271C">
              <w:rPr>
                <w:rFonts w:ascii="Arial" w:hAnsi="Arial" w:cs="Arial" w:hint="eastAsia"/>
                <w:i/>
                <w:sz w:val="20"/>
                <w:szCs w:val="20"/>
                <w:lang w:val="en-US"/>
              </w:rPr>
              <w:t xml:space="preserve">142 mg/dL; most were within normal limits, although one student had a value </w:t>
            </w:r>
            <w:r w:rsidRPr="00C8271C">
              <w:rPr>
                <w:rFonts w:ascii="Arial" w:hAnsi="Arial" w:cs="Arial" w:hint="eastAsia"/>
                <w:i/>
                <w:sz w:val="20"/>
                <w:szCs w:val="20"/>
                <w:lang w:val="en-US"/>
              </w:rPr>
              <w:t>≥</w:t>
            </w:r>
            <w:r w:rsidRPr="00C8271C">
              <w:rPr>
                <w:rFonts w:ascii="Arial" w:hAnsi="Arial" w:cs="Arial" w:hint="eastAsia"/>
                <w:i/>
                <w:sz w:val="20"/>
                <w:szCs w:val="20"/>
                <w:lang w:val="en-US"/>
              </w:rPr>
              <w:t>140 mg/dL indicating prediabetes. Body weight measurements were performed on 36 students, showing a range of 37</w:t>
            </w:r>
            <w:r w:rsidRPr="00C8271C">
              <w:rPr>
                <w:rFonts w:ascii="Arial" w:hAnsi="Arial" w:cs="Arial" w:hint="eastAsia"/>
                <w:i/>
                <w:sz w:val="20"/>
                <w:szCs w:val="20"/>
                <w:lang w:val="en-US"/>
              </w:rPr>
              <w:t>–</w:t>
            </w:r>
            <w:r w:rsidRPr="00C8271C">
              <w:rPr>
                <w:rFonts w:ascii="Arial" w:hAnsi="Arial" w:cs="Arial" w:hint="eastAsia"/>
                <w:i/>
                <w:sz w:val="20"/>
                <w:szCs w:val="20"/>
                <w:lang w:val="en-US"/>
              </w:rPr>
              <w:t>93 kg, with indications of potential ove</w:t>
            </w:r>
            <w:r w:rsidRPr="00C8271C">
              <w:rPr>
                <w:rFonts w:ascii="Arial" w:hAnsi="Arial" w:cs="Arial"/>
                <w:i/>
                <w:sz w:val="20"/>
                <w:szCs w:val="20"/>
                <w:lang w:val="en-US"/>
              </w:rPr>
              <w:t xml:space="preserve">rweight and underweight conditions in a small proportion of students. These findings indicate that although the overall health condition of adolescents was relatively good, </w:t>
            </w:r>
            <w:r w:rsidR="002D2CB8">
              <w:rPr>
                <w:rFonts w:ascii="Arial" w:hAnsi="Arial" w:cs="Arial"/>
                <w:i/>
                <w:sz w:val="20"/>
                <w:szCs w:val="20"/>
                <w:lang w:val="en-US"/>
              </w:rPr>
              <w:t xml:space="preserve">early signs of NCD risk factors particularly hypertension </w:t>
            </w:r>
            <w:r w:rsidRPr="00C8271C">
              <w:rPr>
                <w:rFonts w:ascii="Arial" w:hAnsi="Arial" w:cs="Arial"/>
                <w:i/>
                <w:sz w:val="20"/>
                <w:szCs w:val="20"/>
                <w:lang w:val="en-US"/>
              </w:rPr>
              <w:t>were identified. Therefore,</w:t>
            </w:r>
            <w:r w:rsidR="002D2CB8">
              <w:rPr>
                <w:rFonts w:ascii="Arial" w:hAnsi="Arial" w:cs="Arial"/>
                <w:i/>
                <w:sz w:val="20"/>
                <w:szCs w:val="20"/>
                <w:lang w:val="en-US"/>
              </w:rPr>
              <w:t xml:space="preserve"> regular </w:t>
            </w:r>
            <w:r w:rsidRPr="00C8271C">
              <w:rPr>
                <w:rFonts w:ascii="Arial" w:hAnsi="Arial" w:cs="Arial"/>
                <w:i/>
                <w:sz w:val="20"/>
                <w:szCs w:val="20"/>
                <w:lang w:val="en-US"/>
              </w:rPr>
              <w:t xml:space="preserve">health </w:t>
            </w:r>
            <w:r w:rsidR="002D2CB8">
              <w:rPr>
                <w:rFonts w:ascii="Arial" w:hAnsi="Arial" w:cs="Arial"/>
                <w:i/>
                <w:sz w:val="20"/>
                <w:szCs w:val="20"/>
                <w:lang w:val="en-US"/>
              </w:rPr>
              <w:t xml:space="preserve">monitoring, </w:t>
            </w:r>
            <w:r w:rsidRPr="00C8271C">
              <w:rPr>
                <w:rFonts w:ascii="Arial" w:hAnsi="Arial" w:cs="Arial"/>
                <w:i/>
                <w:sz w:val="20"/>
                <w:szCs w:val="20"/>
                <w:lang w:val="en-US"/>
              </w:rPr>
              <w:t>interventions in the school setting are necessary to prevent the progression of NCDs from adolescence.</w:t>
            </w:r>
          </w:p>
          <w:p w:rsidR="00C8271C" w:rsidRPr="002D2CB8" w:rsidRDefault="00C8271C" w:rsidP="002D2CB8">
            <w:pPr>
              <w:jc w:val="both"/>
              <w:rPr>
                <w:rFonts w:ascii="Arial" w:hAnsi="Arial" w:cs="Arial"/>
                <w:i/>
                <w:sz w:val="20"/>
                <w:szCs w:val="20"/>
                <w:lang w:val="en-US"/>
              </w:rPr>
            </w:pPr>
            <w:r w:rsidRPr="008F43D7">
              <w:rPr>
                <w:rFonts w:ascii="Arial" w:hAnsi="Arial" w:cs="Arial"/>
                <w:b/>
                <w:i/>
                <w:sz w:val="20"/>
                <w:szCs w:val="20"/>
                <w:lang w:val="en-US"/>
              </w:rPr>
              <w:t>Keywords:</w:t>
            </w:r>
            <w:r w:rsidRPr="00C8271C">
              <w:rPr>
                <w:rFonts w:ascii="Arial" w:hAnsi="Arial" w:cs="Arial"/>
                <w:i/>
                <w:sz w:val="20"/>
                <w:szCs w:val="20"/>
                <w:lang w:val="en-US"/>
              </w:rPr>
              <w:t xml:space="preserve"> early detection; non-communicable diseases; health screening; adolescents</w:t>
            </w:r>
            <w:r w:rsidR="002D2CB8">
              <w:rPr>
                <w:rFonts w:ascii="Arial" w:hAnsi="Arial" w:cs="Arial"/>
                <w:i/>
                <w:sz w:val="20"/>
                <w:szCs w:val="20"/>
                <w:lang w:val="en-US"/>
              </w:rPr>
              <w:t>.</w:t>
            </w:r>
          </w:p>
        </w:tc>
      </w:tr>
      <w:tr w:rsidR="00BF5282" w:rsidRPr="001C0CCC" w:rsidTr="00005CE1">
        <w:trPr>
          <w:gridAfter w:val="1"/>
          <w:wAfter w:w="22" w:type="dxa"/>
          <w:trHeight w:val="1482"/>
          <w:jc w:val="center"/>
        </w:trPr>
        <w:tc>
          <w:tcPr>
            <w:tcW w:w="8437" w:type="dxa"/>
            <w:gridSpan w:val="3"/>
            <w:vMerge/>
            <w:tcBorders>
              <w:left w:val="nil"/>
              <w:bottom w:val="single" w:sz="4" w:space="0" w:color="auto"/>
              <w:right w:val="nil"/>
            </w:tcBorders>
          </w:tcPr>
          <w:p w:rsidR="00BF5282" w:rsidRPr="00C8271C" w:rsidRDefault="00BF5282" w:rsidP="002D2CB8">
            <w:pPr>
              <w:jc w:val="both"/>
              <w:rPr>
                <w:rFonts w:ascii="Arial" w:hAnsi="Arial" w:cs="Arial"/>
                <w:iCs/>
                <w:color w:val="000000"/>
                <w:sz w:val="20"/>
                <w:szCs w:val="20"/>
              </w:rPr>
            </w:pPr>
          </w:p>
        </w:tc>
      </w:tr>
      <w:tr w:rsidR="00005CE1" w:rsidRPr="001C0CCC" w:rsidTr="009D435A">
        <w:trPr>
          <w:trHeight w:val="274"/>
          <w:jc w:val="center"/>
        </w:trPr>
        <w:tc>
          <w:tcPr>
            <w:tcW w:w="1243" w:type="dxa"/>
            <w:tcBorders>
              <w:top w:val="single" w:sz="4" w:space="0" w:color="auto"/>
              <w:left w:val="nil"/>
              <w:bottom w:val="single" w:sz="4" w:space="0" w:color="auto"/>
              <w:right w:val="nil"/>
            </w:tcBorders>
          </w:tcPr>
          <w:p w:rsidR="00005CE1" w:rsidRPr="001C0CCC" w:rsidRDefault="00005CE1" w:rsidP="002D2CB8">
            <w:pPr>
              <w:jc w:val="both"/>
              <w:rPr>
                <w:rFonts w:ascii="Arial" w:hAnsi="Arial" w:cs="Arial"/>
                <w:iCs/>
                <w:color w:val="000000"/>
                <w:sz w:val="20"/>
                <w:szCs w:val="20"/>
              </w:rPr>
            </w:pPr>
          </w:p>
        </w:tc>
        <w:tc>
          <w:tcPr>
            <w:tcW w:w="3033" w:type="dxa"/>
            <w:tcBorders>
              <w:top w:val="single" w:sz="4" w:space="0" w:color="auto"/>
              <w:left w:val="nil"/>
              <w:bottom w:val="single" w:sz="4" w:space="0" w:color="auto"/>
              <w:right w:val="nil"/>
            </w:tcBorders>
          </w:tcPr>
          <w:p w:rsidR="00005CE1" w:rsidRPr="00C8271C" w:rsidRDefault="00005CE1" w:rsidP="002D2CB8">
            <w:pPr>
              <w:jc w:val="both"/>
              <w:rPr>
                <w:rFonts w:ascii="Arial" w:hAnsi="Arial" w:cs="Arial"/>
                <w:b/>
                <w:sz w:val="20"/>
                <w:szCs w:val="20"/>
              </w:rPr>
            </w:pPr>
            <w:r w:rsidRPr="00C8271C">
              <w:rPr>
                <w:rFonts w:ascii="Arial" w:hAnsi="Arial" w:cs="Arial"/>
                <w:b/>
                <w:sz w:val="20"/>
                <w:szCs w:val="20"/>
              </w:rPr>
              <w:t>Article History:</w:t>
            </w:r>
          </w:p>
          <w:p w:rsidR="00005CE1" w:rsidRPr="00C8271C" w:rsidRDefault="008F43D7" w:rsidP="002D2CB8">
            <w:pPr>
              <w:jc w:val="both"/>
              <w:rPr>
                <w:rFonts w:ascii="Arial" w:hAnsi="Arial" w:cs="Arial"/>
                <w:sz w:val="20"/>
                <w:szCs w:val="20"/>
              </w:rPr>
            </w:pPr>
            <w:r>
              <w:rPr>
                <w:rFonts w:ascii="Arial" w:hAnsi="Arial" w:cs="Arial"/>
                <w:sz w:val="20"/>
                <w:szCs w:val="20"/>
              </w:rPr>
              <w:t>Received: 4 Oktober 2025</w:t>
            </w:r>
          </w:p>
          <w:p w:rsidR="00005CE1" w:rsidRPr="00C8271C" w:rsidRDefault="00005CE1" w:rsidP="002D2CB8">
            <w:pPr>
              <w:jc w:val="both"/>
              <w:rPr>
                <w:rFonts w:ascii="Arial" w:hAnsi="Arial" w:cs="Arial"/>
                <w:sz w:val="20"/>
                <w:szCs w:val="20"/>
              </w:rPr>
            </w:pPr>
            <w:r w:rsidRPr="00C8271C">
              <w:rPr>
                <w:rFonts w:ascii="Arial" w:hAnsi="Arial" w:cs="Arial"/>
                <w:sz w:val="20"/>
                <w:szCs w:val="20"/>
              </w:rPr>
              <w:t xml:space="preserve">Revised  : </w:t>
            </w:r>
            <w:r w:rsidR="008F43D7">
              <w:rPr>
                <w:rFonts w:ascii="Arial" w:hAnsi="Arial" w:cs="Arial"/>
                <w:sz w:val="20"/>
                <w:szCs w:val="20"/>
              </w:rPr>
              <w:t xml:space="preserve">20 </w:t>
            </w:r>
            <w:r w:rsidR="00BE5D11">
              <w:rPr>
                <w:rFonts w:ascii="Arial" w:hAnsi="Arial" w:cs="Arial"/>
                <w:sz w:val="20"/>
                <w:szCs w:val="20"/>
              </w:rPr>
              <w:t xml:space="preserve">Oktober </w:t>
            </w:r>
            <w:r w:rsidR="008F43D7">
              <w:rPr>
                <w:rFonts w:ascii="Arial" w:hAnsi="Arial" w:cs="Arial"/>
                <w:sz w:val="20"/>
                <w:szCs w:val="20"/>
              </w:rPr>
              <w:t>2</w:t>
            </w:r>
            <w:r w:rsidR="00BE5D11">
              <w:rPr>
                <w:rFonts w:ascii="Arial" w:hAnsi="Arial" w:cs="Arial"/>
                <w:sz w:val="20"/>
                <w:szCs w:val="20"/>
              </w:rPr>
              <w:t>02</w:t>
            </w:r>
            <w:r w:rsidR="008F43D7">
              <w:rPr>
                <w:rFonts w:ascii="Arial" w:hAnsi="Arial" w:cs="Arial"/>
                <w:sz w:val="20"/>
                <w:szCs w:val="20"/>
              </w:rPr>
              <w:t>5</w:t>
            </w:r>
          </w:p>
          <w:p w:rsidR="00005CE1" w:rsidRPr="00C8271C" w:rsidRDefault="00005CE1" w:rsidP="00BE5D11">
            <w:pPr>
              <w:jc w:val="both"/>
              <w:rPr>
                <w:rFonts w:ascii="Arial" w:hAnsi="Arial" w:cs="Arial"/>
                <w:sz w:val="20"/>
                <w:szCs w:val="20"/>
              </w:rPr>
            </w:pPr>
            <w:r w:rsidRPr="00C8271C">
              <w:rPr>
                <w:rFonts w:ascii="Arial" w:hAnsi="Arial" w:cs="Arial"/>
                <w:sz w:val="20"/>
                <w:szCs w:val="20"/>
              </w:rPr>
              <w:t xml:space="preserve">Accepted: </w:t>
            </w:r>
            <w:r w:rsidR="00BE5D11">
              <w:rPr>
                <w:rFonts w:ascii="Arial" w:hAnsi="Arial" w:cs="Arial"/>
                <w:sz w:val="20"/>
                <w:szCs w:val="20"/>
              </w:rPr>
              <w:t xml:space="preserve"> 10</w:t>
            </w:r>
            <w:r w:rsidR="008F43D7">
              <w:rPr>
                <w:rFonts w:ascii="Arial" w:hAnsi="Arial" w:cs="Arial"/>
                <w:sz w:val="20"/>
                <w:szCs w:val="20"/>
              </w:rPr>
              <w:t xml:space="preserve"> November 2025</w:t>
            </w:r>
          </w:p>
        </w:tc>
        <w:tc>
          <w:tcPr>
            <w:tcW w:w="4183" w:type="dxa"/>
            <w:gridSpan w:val="2"/>
            <w:tcBorders>
              <w:top w:val="single" w:sz="4" w:space="0" w:color="auto"/>
              <w:left w:val="nil"/>
              <w:bottom w:val="single" w:sz="4" w:space="0" w:color="auto"/>
              <w:right w:val="nil"/>
            </w:tcBorders>
          </w:tcPr>
          <w:p w:rsidR="00005CE1" w:rsidRPr="001C0CCC" w:rsidRDefault="00005CE1" w:rsidP="002D2CB8">
            <w:pPr>
              <w:ind w:right="-13"/>
              <w:jc w:val="right"/>
              <w:rPr>
                <w:rFonts w:ascii="Arial" w:hAnsi="Arial" w:cs="Arial"/>
                <w:i/>
                <w:iCs/>
                <w:color w:val="000000"/>
                <w:sz w:val="6"/>
                <w:szCs w:val="18"/>
              </w:rPr>
            </w:pPr>
          </w:p>
          <w:p w:rsidR="00005CE1" w:rsidRPr="001C0CCC" w:rsidRDefault="00005CE1" w:rsidP="002D2CB8">
            <w:pPr>
              <w:ind w:right="-13"/>
              <w:jc w:val="right"/>
              <w:rPr>
                <w:rFonts w:ascii="Arial" w:hAnsi="Arial" w:cs="Arial"/>
                <w:i/>
                <w:iCs/>
                <w:color w:val="000000"/>
                <w:sz w:val="18"/>
                <w:szCs w:val="18"/>
              </w:rPr>
            </w:pPr>
            <w:r w:rsidRPr="001C0CCC">
              <w:rPr>
                <w:rFonts w:ascii="Arial" w:hAnsi="Arial" w:cs="Arial"/>
                <w:iCs/>
                <w:noProof/>
                <w:color w:val="000000"/>
                <w:sz w:val="18"/>
                <w:szCs w:val="18"/>
                <w:lang w:val="en-US" w:eastAsia="en-US"/>
              </w:rPr>
              <w:drawing>
                <wp:inline distT="0" distB="0" distL="0" distR="0" wp14:anchorId="0E40C7FC" wp14:editId="6644D61A">
                  <wp:extent cx="934872" cy="329327"/>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1639" name="Picture 12" descr="C:\Users\WINDOWS 7\Documents\Indeksi\88x31.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43722" cy="332445"/>
                          </a:xfrm>
                          <a:prstGeom prst="rect">
                            <a:avLst/>
                          </a:prstGeom>
                          <a:noFill/>
                          <a:ln>
                            <a:noFill/>
                          </a:ln>
                        </pic:spPr>
                      </pic:pic>
                    </a:graphicData>
                  </a:graphic>
                </wp:inline>
              </w:drawing>
            </w:r>
          </w:p>
          <w:p w:rsidR="00005CE1" w:rsidRPr="001C0CCC" w:rsidRDefault="00005CE1" w:rsidP="002D2CB8">
            <w:pPr>
              <w:ind w:right="-13"/>
              <w:jc w:val="right"/>
              <w:rPr>
                <w:rFonts w:ascii="Arial" w:hAnsi="Arial" w:cs="Arial"/>
                <w:i/>
                <w:iCs/>
                <w:color w:val="000000"/>
                <w:sz w:val="18"/>
                <w:szCs w:val="18"/>
              </w:rPr>
            </w:pPr>
            <w:r w:rsidRPr="001C0CCC">
              <w:rPr>
                <w:rFonts w:ascii="Arial" w:hAnsi="Arial" w:cs="Arial"/>
                <w:i/>
                <w:iCs/>
                <w:color w:val="000000"/>
                <w:sz w:val="18"/>
                <w:szCs w:val="18"/>
              </w:rPr>
              <w:t xml:space="preserve">This is an open access article under the </w:t>
            </w:r>
          </w:p>
          <w:p w:rsidR="00005CE1" w:rsidRPr="001C0CCC" w:rsidRDefault="00005CE1" w:rsidP="002D2CB8">
            <w:pPr>
              <w:ind w:right="-13"/>
              <w:jc w:val="right"/>
              <w:rPr>
                <w:rFonts w:ascii="Arial" w:hAnsi="Arial" w:cs="Arial"/>
                <w:sz w:val="18"/>
                <w:szCs w:val="18"/>
              </w:rPr>
            </w:pPr>
            <w:r w:rsidRPr="001C0CCC">
              <w:rPr>
                <w:rFonts w:ascii="Arial" w:hAnsi="Arial" w:cs="Arial"/>
                <w:b/>
                <w:i/>
                <w:iCs/>
                <w:color w:val="4F81BD" w:themeColor="accent1"/>
                <w:sz w:val="18"/>
                <w:szCs w:val="18"/>
              </w:rPr>
              <w:t>CC–BY-SA</w:t>
            </w:r>
            <w:r w:rsidRPr="001C0CCC">
              <w:rPr>
                <w:rFonts w:ascii="Arial" w:hAnsi="Arial" w:cs="Arial"/>
                <w:i/>
                <w:iCs/>
                <w:color w:val="000000"/>
                <w:sz w:val="18"/>
                <w:szCs w:val="18"/>
              </w:rPr>
              <w:t xml:space="preserve"> license</w:t>
            </w:r>
          </w:p>
        </w:tc>
      </w:tr>
    </w:tbl>
    <w:p w:rsidR="00922A80" w:rsidRPr="001C0CCC" w:rsidRDefault="00922A80" w:rsidP="002D2CB8">
      <w:pPr>
        <w:rPr>
          <w:rFonts w:ascii="Arial" w:hAnsi="Arial" w:cs="Arial"/>
          <w:lang w:val="en-US" w:eastAsia="en-US"/>
        </w:rPr>
      </w:pPr>
    </w:p>
    <w:p w:rsidR="00B3521D" w:rsidRPr="001C0CCC" w:rsidRDefault="00B3521D" w:rsidP="002D2CB8">
      <w:pPr>
        <w:rPr>
          <w:rFonts w:ascii="Arial" w:hAnsi="Arial" w:cs="Arial"/>
          <w:sz w:val="14"/>
          <w:lang w:val="en-US" w:eastAsia="en-US"/>
        </w:rPr>
      </w:pPr>
    </w:p>
    <w:p w:rsidR="00B3521D" w:rsidRPr="001C0CCC" w:rsidRDefault="00B3521D" w:rsidP="00EC3F6C">
      <w:pPr>
        <w:pStyle w:val="IEEEHeading1"/>
        <w:numPr>
          <w:ilvl w:val="0"/>
          <w:numId w:val="0"/>
        </w:numPr>
        <w:spacing w:before="0" w:after="0"/>
        <w:ind w:left="360"/>
        <w:jc w:val="left"/>
        <w:rPr>
          <w:rFonts w:ascii="Arial" w:hAnsi="Arial" w:cs="Arial"/>
          <w:b/>
          <w:iCs/>
          <w:sz w:val="26"/>
          <w:szCs w:val="20"/>
          <w:lang w:val="id-ID"/>
        </w:rPr>
        <w:sectPr w:rsidR="00B3521D" w:rsidRPr="001C0CCC" w:rsidSect="002D2CB8">
          <w:headerReference w:type="default" r:id="rId12"/>
          <w:headerReference w:type="first" r:id="rId13"/>
          <w:footerReference w:type="first" r:id="rId14"/>
          <w:type w:val="continuous"/>
          <w:pgSz w:w="11906" w:h="16838" w:code="9"/>
          <w:pgMar w:top="851" w:right="1701" w:bottom="1134" w:left="1701" w:header="709" w:footer="709" w:gutter="0"/>
          <w:cols w:space="238"/>
          <w:docGrid w:linePitch="360"/>
        </w:sectPr>
      </w:pPr>
    </w:p>
    <w:p w:rsidR="00AD335D" w:rsidRDefault="00AE1477" w:rsidP="00EC3F6C">
      <w:pPr>
        <w:pStyle w:val="IEEEHeading1"/>
        <w:numPr>
          <w:ilvl w:val="0"/>
          <w:numId w:val="11"/>
        </w:numPr>
        <w:spacing w:before="0" w:after="0"/>
        <w:jc w:val="left"/>
        <w:rPr>
          <w:rFonts w:ascii="Arial" w:hAnsi="Arial" w:cs="Arial"/>
          <w:b/>
          <w:iCs/>
          <w:sz w:val="25"/>
          <w:szCs w:val="25"/>
          <w:lang w:val="id-ID"/>
        </w:rPr>
      </w:pPr>
      <w:r w:rsidRPr="001C0CCC">
        <w:rPr>
          <w:rFonts w:ascii="Arial" w:hAnsi="Arial" w:cs="Arial"/>
          <w:b/>
          <w:iCs/>
          <w:sz w:val="25"/>
          <w:szCs w:val="25"/>
          <w:lang w:val="id-ID"/>
        </w:rPr>
        <w:lastRenderedPageBreak/>
        <w:t>LATAR BELAKANG</w:t>
      </w:r>
    </w:p>
    <w:p w:rsidR="001A0AE9" w:rsidRDefault="009D435A" w:rsidP="00822D86">
      <w:pPr>
        <w:pStyle w:val="IEEEParagraph"/>
        <w:ind w:left="360" w:firstLine="0"/>
        <w:rPr>
          <w:rStyle w:val="longtext"/>
          <w:rFonts w:ascii="Arial" w:hAnsi="Arial" w:cs="Arial"/>
          <w:shd w:val="clear" w:color="auto" w:fill="FFFFFF"/>
        </w:rPr>
      </w:pPr>
      <w:r>
        <w:rPr>
          <w:rStyle w:val="longtext"/>
          <w:rFonts w:ascii="Arial" w:hAnsi="Arial" w:cs="Arial"/>
          <w:shd w:val="clear" w:color="auto" w:fill="FFFFFF"/>
        </w:rPr>
        <w:t xml:space="preserve">      </w:t>
      </w:r>
    </w:p>
    <w:p w:rsidR="00512264" w:rsidRDefault="009D435A" w:rsidP="00EC3F6C">
      <w:pPr>
        <w:pStyle w:val="IEEEParagraph"/>
        <w:ind w:left="360" w:firstLine="0"/>
        <w:rPr>
          <w:rStyle w:val="longtext"/>
          <w:rFonts w:ascii="Arial" w:hAnsi="Arial" w:cs="Arial"/>
          <w:shd w:val="clear" w:color="auto" w:fill="FFFFFF"/>
        </w:rPr>
      </w:pPr>
      <w:r>
        <w:rPr>
          <w:rStyle w:val="longtext"/>
          <w:rFonts w:ascii="Arial" w:hAnsi="Arial" w:cs="Arial"/>
          <w:shd w:val="clear" w:color="auto" w:fill="FFFFFF"/>
        </w:rPr>
        <w:t xml:space="preserve">      </w:t>
      </w:r>
      <w:r w:rsidR="00512264" w:rsidRPr="00512264">
        <w:rPr>
          <w:rStyle w:val="longtext"/>
          <w:rFonts w:ascii="Arial" w:hAnsi="Arial" w:cs="Arial"/>
          <w:shd w:val="clear" w:color="auto" w:fill="FFFFFF"/>
        </w:rPr>
        <w:t>Penyakit Tidak Menular (PTM) merupakan masalah kesehatan global yang mendominasi angka morbiditas dan mortalitas di berbagai negara, termasuk Indonesia. PTM seperti penyakit kardiovaskular, diabetes mellitus, hipertensi, dan obesitas berkaitan erat dengan faktor risiko perilaku yang umumnya mulai muncul sejak masa remaja, seperti pola makan tidak sehat, kurangnya aktivitas fisik, merokok, serta konsumsi alkohol yang semakin meningkat di kalangan remaja. Remaja dengan perilaku hidup tidak sehat memiliki kemungkinan lebih besar mengalami PTM sejak dini yang kemudian akan berlanjut hingga dewasa jika tidak segera dilakukan tindakan pencegahan</w:t>
      </w:r>
      <w:r w:rsidR="00512264">
        <w:rPr>
          <w:rStyle w:val="longtext"/>
          <w:rFonts w:ascii="Arial" w:hAnsi="Arial" w:cs="Arial"/>
          <w:shd w:val="clear" w:color="auto" w:fill="FFFFFF"/>
        </w:rPr>
        <w:fldChar w:fldCharType="begin" w:fldLock="1"/>
      </w:r>
      <w:r w:rsidR="000F3034">
        <w:rPr>
          <w:rStyle w:val="longtext"/>
          <w:rFonts w:ascii="Arial" w:hAnsi="Arial" w:cs="Arial"/>
          <w:shd w:val="clear" w:color="auto" w:fill="FFFFFF"/>
        </w:rPr>
        <w:instrText>ADDIN CSL_CITATION {"citationItems":[{"id":"ITEM-1","itemData":{"author":[{"dropping-particle":"","family":"Siswanto","given":"Yuliaji","non-dropping-particle":"","parse-names":false,"suffix":""},{"dropping-particle":"","family":"Lestari","given":"Ita P","non-dropping-particle":"","parse-names":false,"suffix":""}],"container-title":"Jurnal Pro Health","id":"ITEM-1","issue":"1","issued":{"date-parts":[["2020"]]},"page":"1-2","title":"Pengetahuan PTM dan Faktor Risiko Perilaku pada Remaja","type":"article-journal","volume":"2"},"uris":["http://www.mendeley.com/documents/?uuid=3a5748d6-9a86-46a8-b751-4b71d0bf2717"]}],"mendeley":{"formattedCitation":"(1)","plainTextFormattedCitation":"(1)","previouslyFormattedCitation":"(1)"},"properties":{"noteIndex":0},"schema":"https://github.com/citation-style-language/schema/raw/master/csl-citation.json"}</w:instrText>
      </w:r>
      <w:r w:rsidR="00512264">
        <w:rPr>
          <w:rStyle w:val="longtext"/>
          <w:rFonts w:ascii="Arial" w:hAnsi="Arial" w:cs="Arial"/>
          <w:shd w:val="clear" w:color="auto" w:fill="FFFFFF"/>
        </w:rPr>
        <w:fldChar w:fldCharType="separate"/>
      </w:r>
      <w:r w:rsidR="00512264" w:rsidRPr="00512264">
        <w:rPr>
          <w:rStyle w:val="longtext"/>
          <w:rFonts w:ascii="Arial" w:hAnsi="Arial" w:cs="Arial"/>
          <w:noProof/>
          <w:shd w:val="clear" w:color="auto" w:fill="FFFFFF"/>
        </w:rPr>
        <w:t>(1)</w:t>
      </w:r>
      <w:r w:rsidR="00512264">
        <w:rPr>
          <w:rStyle w:val="longtext"/>
          <w:rFonts w:ascii="Arial" w:hAnsi="Arial" w:cs="Arial"/>
          <w:shd w:val="clear" w:color="auto" w:fill="FFFFFF"/>
        </w:rPr>
        <w:fldChar w:fldCharType="end"/>
      </w:r>
      <w:r w:rsidR="00512264" w:rsidRPr="00512264">
        <w:rPr>
          <w:rStyle w:val="longtext"/>
          <w:rFonts w:ascii="Arial" w:hAnsi="Arial" w:cs="Arial"/>
          <w:shd w:val="clear" w:color="auto" w:fill="FFFFFF"/>
        </w:rPr>
        <w:t>.</w:t>
      </w:r>
    </w:p>
    <w:p w:rsidR="0055703E" w:rsidRPr="0055703E" w:rsidRDefault="005C3460" w:rsidP="0055703E">
      <w:pPr>
        <w:pStyle w:val="IEEEParagraph"/>
        <w:ind w:left="360" w:firstLine="0"/>
        <w:rPr>
          <w:rStyle w:val="longtext"/>
          <w:rFonts w:ascii="Arial" w:hAnsi="Arial" w:cs="Arial"/>
          <w:shd w:val="clear" w:color="auto" w:fill="FFFFFF"/>
        </w:rPr>
      </w:pPr>
      <w:r>
        <w:rPr>
          <w:rStyle w:val="longtext"/>
          <w:rFonts w:ascii="Arial" w:hAnsi="Arial" w:cs="Arial"/>
          <w:shd w:val="clear" w:color="auto" w:fill="FFFFFF"/>
        </w:rPr>
        <w:t xml:space="preserve">       </w:t>
      </w:r>
      <w:r w:rsidR="0055703E" w:rsidRPr="0055703E">
        <w:rPr>
          <w:rStyle w:val="longtext"/>
          <w:rFonts w:ascii="Arial" w:hAnsi="Arial" w:cs="Arial"/>
          <w:shd w:val="clear" w:color="auto" w:fill="FFFFFF"/>
        </w:rPr>
        <w:t>Secara global, PTM menyumbang sekitar 38% dari total kematian pada tahun 2021 (WHO, 2024). Di Indonesia, prevalensinya terus meningkat seiring perubahan gaya hidup, urbanisasi, dan meningkatnya paparan faktor risiko. Survei Kesehatan Indonesia (SKI) 2023 melaporkan prevalensi hipertensi berdasarkan pengukuran tekanan darah sebesar 30,8%, dengan kelompok usia 18–24 tahun mencapai 10,7%. P</w:t>
      </w:r>
      <w:r w:rsidR="0055703E" w:rsidRPr="0055703E">
        <w:rPr>
          <w:rStyle w:val="longtext"/>
          <w:rFonts w:ascii="Arial" w:hAnsi="Arial" w:cs="Arial" w:hint="eastAsia"/>
          <w:shd w:val="clear" w:color="auto" w:fill="FFFFFF"/>
        </w:rPr>
        <w:t xml:space="preserve">revalensi diabetes mellitus pada penduduk usia </w:t>
      </w:r>
      <w:r w:rsidR="0055703E" w:rsidRPr="0055703E">
        <w:rPr>
          <w:rStyle w:val="longtext"/>
          <w:rFonts w:ascii="Arial" w:hAnsi="Arial" w:cs="Arial" w:hint="eastAsia"/>
          <w:shd w:val="clear" w:color="auto" w:fill="FFFFFF"/>
        </w:rPr>
        <w:t>≥</w:t>
      </w:r>
      <w:r w:rsidR="0055703E" w:rsidRPr="0055703E">
        <w:rPr>
          <w:rStyle w:val="longtext"/>
          <w:rFonts w:ascii="Arial" w:hAnsi="Arial" w:cs="Arial" w:hint="eastAsia"/>
          <w:shd w:val="clear" w:color="auto" w:fill="FFFFFF"/>
        </w:rPr>
        <w:t>15 tahun sebesar 11,7%, meningkat dibandingkan tahun 2018 (10,9</w:t>
      </w:r>
      <w:r>
        <w:rPr>
          <w:rStyle w:val="longtext"/>
          <w:rFonts w:ascii="Arial" w:hAnsi="Arial" w:cs="Arial" w:hint="eastAsia"/>
          <w:shd w:val="clear" w:color="auto" w:fill="FFFFFF"/>
        </w:rPr>
        <w:t>%)</w:t>
      </w:r>
      <w:r w:rsidR="0055703E" w:rsidRPr="0055703E">
        <w:rPr>
          <w:rStyle w:val="longtext"/>
          <w:rFonts w:ascii="Arial" w:hAnsi="Arial" w:cs="Arial" w:hint="eastAsia"/>
          <w:shd w:val="clear" w:color="auto" w:fill="FFFFFF"/>
        </w:rPr>
        <w:t>. Secara global, jumlah penyandang diabetes diproyeksikan mencapai 643 juta pada tahun 2030</w:t>
      </w:r>
      <w:r w:rsidR="0055703E">
        <w:rPr>
          <w:rStyle w:val="longtext"/>
          <w:rFonts w:ascii="Arial" w:hAnsi="Arial" w:cs="Arial"/>
          <w:shd w:val="clear" w:color="auto" w:fill="FFFFFF"/>
        </w:rPr>
        <w:fldChar w:fldCharType="begin" w:fldLock="1"/>
      </w:r>
      <w:r w:rsidR="0055703E">
        <w:rPr>
          <w:rStyle w:val="longtext"/>
          <w:rFonts w:ascii="Arial" w:hAnsi="Arial" w:cs="Arial"/>
          <w:shd w:val="clear" w:color="auto" w:fill="FFFFFF"/>
        </w:rPr>
        <w:instrText>ADDIN CSL_CITATION {"citationItems":[{"id":"ITEM-1","itemData":{"DOI":"10.59110/rcsd.537","abstract":"Prevalensi Penyakit Tidak Menular (PTM) di Indonesia terus meningkat akibat perubahan gaya hidup dan urbanisasi. PTM tidak hanya menyerang usia lanjut, tetapi juga dapat terjadi pada usia muda. Pengabdian kepada masyarakat ini bertujuan untuk mendukung implementasi skrining PTM pada kelompok remaja Karang Taruna Tunas Harapan guna meningkatkan kesadaran akan pentingnya kesehatan sejak dini. Skrining dilakukan terhadap 24 peserta berusia 19–33 tahun menggunakan metode pengukuran antropometri (tinggi badan, berat badan, lingkar lengan atas), tekanan darah, kadar hemoglobin, serta kadar gula darah sewaktu dengan alat Easy Touch GCU. Hasil skrining menunjukkan bahwa 29,2% peserta memiliki status gizi kurang, 12,5% obesitas, 6,7% mengalami anemia, 11,1% terindikasi prediabetik, dan 8,4% mengalami hipertensi tingkat 1. Tindak lanjut dilakukan melalui edukasi kesehatan mengenai PTM, anemia, serta pengaturan pola makan dan gaya hidup. Tablet tambah darah diberikan kepada remaja putri sebagai langkah pencegahan anemia. Diperlukan dukungan dari pemerintah desa dan Karang Taruna dalam mengoptimalkan posyandu remaja agar kegiatan ini berkelanjutan. Program ini dapat menjadi model dalam deteksi dini PTM berbasis komunitas untuk meningkatkan kesehatan remaja secara berkelanjutan.","author":[{"dropping-particle":"","family":"Fadhilah","given":"Siti","non-dropping-particle":"","parse-names":false,"suffix":""},{"dropping-particle":"","family":"Rusliani","given":"Dian Monalisa","non-dropping-particle":"","parse-names":false,"suffix":""},{"dropping-particle":"","family":"Nuryati","given":"Arum","non-dropping-particle":"","parse-names":false,"suffix":""},{"dropping-particle":"","family":"Suryantara","given":"Bima","non-dropping-particle":"","parse-names":false,"suffix":""}],"container-title":"Room of Civil Society Development","id":"ITEM-1","issue":"1","issued":{"date-parts":[["2025"]]},"page":"222-233","title":"Deteksi Dini Faktor Risiko Penyakit Tidak Menular pada Remaja Karang Taruna: Skrining dan Upaya Pencegahan","type":"article-journal","volume":"4"},"uris":["http://www.mendeley.com/documents/?uuid=36b7f7f6-eae1-4d09-b063-a5318ddc2ad9"]}],"mendeley":{"formattedCitation":"(2)","plainTextFormattedCitation":"(2)","previouslyFormattedCitation":"(2)"},"properties":{"noteIndex":0},"schema":"https://github.com/citation-style-language/schema/raw/master/csl-citation.json"}</w:instrText>
      </w:r>
      <w:r w:rsidR="0055703E">
        <w:rPr>
          <w:rStyle w:val="longtext"/>
          <w:rFonts w:ascii="Arial" w:hAnsi="Arial" w:cs="Arial"/>
          <w:shd w:val="clear" w:color="auto" w:fill="FFFFFF"/>
        </w:rPr>
        <w:fldChar w:fldCharType="separate"/>
      </w:r>
      <w:r w:rsidR="0055703E" w:rsidRPr="0055703E">
        <w:rPr>
          <w:rStyle w:val="longtext"/>
          <w:rFonts w:ascii="Arial" w:hAnsi="Arial" w:cs="Arial"/>
          <w:noProof/>
          <w:shd w:val="clear" w:color="auto" w:fill="FFFFFF"/>
        </w:rPr>
        <w:t>(2)</w:t>
      </w:r>
      <w:r w:rsidR="0055703E">
        <w:rPr>
          <w:rStyle w:val="longtext"/>
          <w:rFonts w:ascii="Arial" w:hAnsi="Arial" w:cs="Arial"/>
          <w:shd w:val="clear" w:color="auto" w:fill="FFFFFF"/>
        </w:rPr>
        <w:fldChar w:fldCharType="end"/>
      </w:r>
      <w:r w:rsidR="0055703E" w:rsidRPr="0055703E">
        <w:rPr>
          <w:rStyle w:val="longtext"/>
          <w:rFonts w:ascii="Arial" w:hAnsi="Arial" w:cs="Arial" w:hint="eastAsia"/>
          <w:shd w:val="clear" w:color="auto" w:fill="FFFFFF"/>
        </w:rPr>
        <w:t>.</w:t>
      </w:r>
    </w:p>
    <w:p w:rsidR="0055703E" w:rsidRDefault="005C3460" w:rsidP="0055703E">
      <w:pPr>
        <w:pStyle w:val="IEEEParagraph"/>
        <w:ind w:left="360" w:firstLine="0"/>
        <w:rPr>
          <w:rStyle w:val="longtext"/>
          <w:rFonts w:ascii="Arial" w:hAnsi="Arial" w:cs="Arial"/>
          <w:shd w:val="clear" w:color="auto" w:fill="FFFFFF"/>
        </w:rPr>
      </w:pPr>
      <w:r>
        <w:rPr>
          <w:rStyle w:val="longtext"/>
          <w:rFonts w:ascii="Arial" w:hAnsi="Arial" w:cs="Arial"/>
          <w:shd w:val="clear" w:color="auto" w:fill="FFFFFF"/>
        </w:rPr>
        <w:t xml:space="preserve">       </w:t>
      </w:r>
      <w:r w:rsidR="0055703E" w:rsidRPr="0055703E">
        <w:rPr>
          <w:rStyle w:val="longtext"/>
          <w:rFonts w:ascii="Arial" w:hAnsi="Arial" w:cs="Arial"/>
          <w:shd w:val="clear" w:color="auto" w:fill="FFFFFF"/>
        </w:rPr>
        <w:t>Pada kelompok remaja, berbagai faktor risiko PTM juga telah teridentifikasi, antara lain kegemukan (36,1%), tekanan darah tinggi (43%), kadar gula darah tinggi (23%), konsumsi alkohol (0,5%)</w:t>
      </w:r>
      <w:r w:rsidR="00F21B1A">
        <w:rPr>
          <w:rStyle w:val="longtext"/>
          <w:rFonts w:ascii="Arial" w:hAnsi="Arial" w:cs="Arial"/>
          <w:shd w:val="clear" w:color="auto" w:fill="FFFFFF"/>
        </w:rPr>
        <w:t xml:space="preserve">, dan kebiasaan merokok (5,9%) </w:t>
      </w:r>
      <w:r w:rsidR="0055703E" w:rsidRPr="0055703E">
        <w:rPr>
          <w:rStyle w:val="longtext"/>
          <w:rFonts w:ascii="Arial" w:hAnsi="Arial" w:cs="Arial"/>
          <w:shd w:val="clear" w:color="auto" w:fill="FFFFFF"/>
        </w:rPr>
        <w:t>Selain itu, data SKI 2023 menunjukkan status gizi remaja usia 13–15 tahun terdiri atas kurus (5,4%), sangat kurus (1,9%), normal (75,4%), gemuk (12,1%), dan obesitas (4,1%) (Kementerian Kesehatan, 2024). Temuan ini menegaskan urgensi deteksi dini faktor risiko PTM pada remaja sebagai langkah preventif untuk menekan peningkatan kasus di masa mendatang</w:t>
      </w:r>
      <w:r w:rsidR="0055703E">
        <w:rPr>
          <w:rStyle w:val="longtext"/>
          <w:rFonts w:ascii="Arial" w:hAnsi="Arial" w:cs="Arial"/>
          <w:shd w:val="clear" w:color="auto" w:fill="FFFFFF"/>
        </w:rPr>
        <w:fldChar w:fldCharType="begin" w:fldLock="1"/>
      </w:r>
      <w:r w:rsidR="00F21B1A">
        <w:rPr>
          <w:rStyle w:val="longtext"/>
          <w:rFonts w:ascii="Arial" w:hAnsi="Arial" w:cs="Arial"/>
          <w:shd w:val="clear" w:color="auto" w:fill="FFFFFF"/>
        </w:rPr>
        <w:instrText>ADDIN CSL_CITATION {"citationItems":[{"id":"ITEM-1","itemData":{"DOI":"10.59110/rcsd.537","abstract":"Prevalensi Penyakit Tidak Menular (PTM) di Indonesia terus meningkat akibat perubahan gaya hidup dan urbanisasi. PTM tidak hanya menyerang usia lanjut, tetapi juga dapat terjadi pada usia muda. Pengabdian kepada masyarakat ini bertujuan untuk mendukung implementasi skrining PTM pada kelompok remaja Karang Taruna Tunas Harapan guna meningkatkan kesadaran akan pentingnya kesehatan sejak dini. Skrining dilakukan terhadap 24 peserta berusia 19–33 tahun menggunakan metode pengukuran antropometri (tinggi badan, berat badan, lingkar lengan atas), tekanan darah, kadar hemoglobin, serta kadar gula darah sewaktu dengan alat Easy Touch GCU. Hasil skrining menunjukkan bahwa 29,2% peserta memiliki status gizi kurang, 12,5% obesitas, 6,7% mengalami anemia, 11,1% terindikasi prediabetik, dan 8,4% mengalami hipertensi tingkat 1. Tindak lanjut dilakukan melalui edukasi kesehatan mengenai PTM, anemia, serta pengaturan pola makan dan gaya hidup. Tablet tambah darah diberikan kepada remaja putri sebagai langkah pencegahan anemia. Diperlukan dukungan dari pemerintah desa dan Karang Taruna dalam mengoptimalkan posyandu remaja agar kegiatan ini berkelanjutan. Program ini dapat menjadi model dalam deteksi dini PTM berbasis komunitas untuk meningkatkan kesehatan remaja secara berkelanjutan.","author":[{"dropping-particle":"","family":"Fadhilah","given":"Siti","non-dropping-particle":"","parse-names":false,"suffix":""},{"dropping-particle":"","family":"Rusliani","given":"Dian Monalisa","non-dropping-particle":"","parse-names":false,"suffix":""},{"dropping-particle":"","family":"Nuryati","given":"Arum","non-dropping-particle":"","parse-names":false,"suffix":""},{"dropping-particle":"","family":"Suryantara","given":"Bima","non-dropping-particle":"","parse-names":false,"suffix":""}],"container-title":"Room of Civil Society Development","id":"ITEM-1","issue":"1","issued":{"date-parts":[["2025"]]},"page":"222-233","title":"Deteksi Dini Faktor Risiko Penyakit Tidak Menular pada Remaja Karang Taruna: Skrining dan Upaya Pencegahan","type":"article-journal","volume":"4"},"uris":["http://www.mendeley.com/documents/?uuid=36b7f7f6-eae1-4d09-b063-a5318ddc2ad9"]}],"mendeley":{"formattedCitation":"(2)","plainTextFormattedCitation":"(2)","previouslyFormattedCitation":"(2)"},"properties":{"noteIndex":0},"schema":"https://github.com/citation-style-language/schema/raw/master/csl-citation.json"}</w:instrText>
      </w:r>
      <w:r w:rsidR="0055703E">
        <w:rPr>
          <w:rStyle w:val="longtext"/>
          <w:rFonts w:ascii="Arial" w:hAnsi="Arial" w:cs="Arial"/>
          <w:shd w:val="clear" w:color="auto" w:fill="FFFFFF"/>
        </w:rPr>
        <w:fldChar w:fldCharType="separate"/>
      </w:r>
      <w:r w:rsidR="0055703E" w:rsidRPr="0055703E">
        <w:rPr>
          <w:rStyle w:val="longtext"/>
          <w:rFonts w:ascii="Arial" w:hAnsi="Arial" w:cs="Arial"/>
          <w:noProof/>
          <w:shd w:val="clear" w:color="auto" w:fill="FFFFFF"/>
        </w:rPr>
        <w:t>(2)</w:t>
      </w:r>
      <w:r w:rsidR="0055703E">
        <w:rPr>
          <w:rStyle w:val="longtext"/>
          <w:rFonts w:ascii="Arial" w:hAnsi="Arial" w:cs="Arial"/>
          <w:shd w:val="clear" w:color="auto" w:fill="FFFFFF"/>
        </w:rPr>
        <w:fldChar w:fldCharType="end"/>
      </w:r>
      <w:r w:rsidR="0055703E" w:rsidRPr="0055703E">
        <w:rPr>
          <w:rStyle w:val="longtext"/>
          <w:rFonts w:ascii="Arial" w:hAnsi="Arial" w:cs="Arial"/>
          <w:shd w:val="clear" w:color="auto" w:fill="FFFFFF"/>
        </w:rPr>
        <w:t>.</w:t>
      </w:r>
    </w:p>
    <w:p w:rsidR="00F21B1A" w:rsidRDefault="005C3460" w:rsidP="00EC3F6C">
      <w:pPr>
        <w:pStyle w:val="IEEEParagraph"/>
        <w:ind w:left="360" w:firstLine="0"/>
        <w:rPr>
          <w:rStyle w:val="longtext"/>
          <w:rFonts w:ascii="Arial" w:hAnsi="Arial" w:cs="Arial"/>
          <w:shd w:val="clear" w:color="auto" w:fill="FFFFFF"/>
        </w:rPr>
      </w:pPr>
      <w:r>
        <w:rPr>
          <w:rStyle w:val="longtext"/>
          <w:rFonts w:ascii="Arial" w:hAnsi="Arial" w:cs="Arial"/>
          <w:shd w:val="clear" w:color="auto" w:fill="FFFFFF"/>
        </w:rPr>
        <w:t xml:space="preserve">       </w:t>
      </w:r>
      <w:r w:rsidR="000F3034" w:rsidRPr="000F3034">
        <w:rPr>
          <w:rStyle w:val="longtext"/>
          <w:rFonts w:ascii="Arial" w:hAnsi="Arial" w:cs="Arial"/>
          <w:shd w:val="clear" w:color="auto" w:fill="FFFFFF"/>
        </w:rPr>
        <w:t>Masa remaja merupakan periode transisi dari anak-anak menuju dewasa yang ditandai oleh perubahan biologis, psikologis, dan sosial. Fa</w:t>
      </w:r>
      <w:r w:rsidR="00F21B1A">
        <w:rPr>
          <w:rStyle w:val="longtext"/>
          <w:rFonts w:ascii="Arial" w:hAnsi="Arial" w:cs="Arial"/>
          <w:shd w:val="clear" w:color="auto" w:fill="FFFFFF"/>
        </w:rPr>
        <w:t>se ini dimulai sekitar usia 10–24 tahun. Tahap ini terjadi perubahan biologis, psikologis dan social</w:t>
      </w:r>
      <w:r w:rsidR="00F21B1A">
        <w:rPr>
          <w:rStyle w:val="longtext"/>
          <w:rFonts w:ascii="Arial" w:hAnsi="Arial" w:cs="Arial"/>
          <w:shd w:val="clear" w:color="auto" w:fill="FFFFFF"/>
        </w:rPr>
        <w:fldChar w:fldCharType="begin" w:fldLock="1"/>
      </w:r>
      <w:r w:rsidR="005F070A">
        <w:rPr>
          <w:rStyle w:val="longtext"/>
          <w:rFonts w:ascii="Arial" w:hAnsi="Arial" w:cs="Arial"/>
          <w:shd w:val="clear" w:color="auto" w:fill="FFFFFF"/>
        </w:rPr>
        <w:instrText>ADDIN CSL_CITATION {"citationItems":[{"id":"ITEM-1","itemData":{"author":[{"dropping-particle":"","family":"Aulina","given":"Choirun Nisak","non-dropping-particle":"","parse-names":false,"suffix":""},{"dropping-particle":"","family":"Nisak","given":"Khoirun","non-dropping-particle":"","parse-names":false,"suffix":""}],"container-title":"Jurnal Pengabdian Masyarakat dan aplikasi Teknologi (Adipati) Edukasi","id":"ITEM-1","issue":"01","issued":{"date-parts":[["2026"]]},"page":"7-14","title":"Edukasi dan Pemeriksaan Kesehatan Remaja di Pondok An-Nur Tanggulangin Sidoarjo","type":"article-journal","volume":"05"},"uris":["http://www.mendeley.com/documents/?uuid=c39244a7-b8eb-4e65-8c9f-38679025f147"]}],"mendeley":{"formattedCitation":"(3)","plainTextFormattedCitation":"(3)","previouslyFormattedCitation":"(3)"},"properties":{"noteIndex":0},"schema":"https://github.com/citation-style-language/schema/raw/master/csl-citation.json"}</w:instrText>
      </w:r>
      <w:r w:rsidR="00F21B1A">
        <w:rPr>
          <w:rStyle w:val="longtext"/>
          <w:rFonts w:ascii="Arial" w:hAnsi="Arial" w:cs="Arial"/>
          <w:shd w:val="clear" w:color="auto" w:fill="FFFFFF"/>
        </w:rPr>
        <w:fldChar w:fldCharType="separate"/>
      </w:r>
      <w:r w:rsidR="00F21B1A" w:rsidRPr="00F21B1A">
        <w:rPr>
          <w:rStyle w:val="longtext"/>
          <w:rFonts w:ascii="Arial" w:hAnsi="Arial" w:cs="Arial"/>
          <w:noProof/>
          <w:shd w:val="clear" w:color="auto" w:fill="FFFFFF"/>
        </w:rPr>
        <w:t>(3)</w:t>
      </w:r>
      <w:r w:rsidR="00F21B1A">
        <w:rPr>
          <w:rStyle w:val="longtext"/>
          <w:rFonts w:ascii="Arial" w:hAnsi="Arial" w:cs="Arial"/>
          <w:shd w:val="clear" w:color="auto" w:fill="FFFFFF"/>
        </w:rPr>
        <w:fldChar w:fldCharType="end"/>
      </w:r>
      <w:r w:rsidR="00F21B1A">
        <w:rPr>
          <w:rStyle w:val="longtext"/>
          <w:rFonts w:ascii="Arial" w:hAnsi="Arial" w:cs="Arial"/>
          <w:shd w:val="clear" w:color="auto" w:fill="FFFFFF"/>
        </w:rPr>
        <w:t xml:space="preserve">. </w:t>
      </w:r>
      <w:r w:rsidR="000F3034" w:rsidRPr="000F3034">
        <w:rPr>
          <w:rStyle w:val="longtext"/>
          <w:rFonts w:ascii="Arial" w:hAnsi="Arial" w:cs="Arial"/>
          <w:shd w:val="clear" w:color="auto" w:fill="FFFFFF"/>
        </w:rPr>
        <w:t>Remaja rentan mengalami berbagai masalah kesehatan seperti gangguan mental, gangguan makan, wasting, obesitas, anemia</w:t>
      </w:r>
      <w:r w:rsidR="00254E89">
        <w:rPr>
          <w:rStyle w:val="longtext"/>
          <w:rFonts w:ascii="Arial" w:hAnsi="Arial" w:cs="Arial"/>
          <w:shd w:val="clear" w:color="auto" w:fill="FFFFFF"/>
        </w:rPr>
        <w:fldChar w:fldCharType="begin" w:fldLock="1"/>
      </w:r>
      <w:r w:rsidR="00627D1F">
        <w:rPr>
          <w:rStyle w:val="longtext"/>
          <w:rFonts w:ascii="Arial" w:hAnsi="Arial" w:cs="Arial"/>
          <w:shd w:val="clear" w:color="auto" w:fill="FFFFFF"/>
        </w:rPr>
        <w:instrText>ADDIN CSL_CITATION {"citationItems":[{"id":"ITEM-1","itemData":{"abstract":"Perilaku hidup bersih dan sehat (PHBS) didefinisikan sebagai perilaku yang dipratikkan dengan kesadaran sebagai hasil pembelajaran dan perwujudan paradigma sehat yang menjadikan individu, keluarga. Tujuan pengabdian ini adalah untuk mengetahui sejauh mana pelaksanakan PHBS tatanan sekolah dengan kebiasaan mencuci tangan pakai sabut pada siswa SDN Maumbi dan SDN Inpres Watutumou Kabupaten Minahasa Utara. Metode kegiatan pengabdian Metode dalam pelaksanaan pengabdian kepada masyarakat ini dilakukan dengan melakukan survey awal di lokasi tempat akan dilaksanakan kegiatan pengabdian kepada masyarakat, pendekatan kepada pihak sekolah dan mendata semua siswa . Intervensi yang diberikan adalah pembuatan tempat cuci tangan bagi siswa dan guru-guru. Hasil kegiatan menunjukkan terealisasinya fasilitas tempat cuci tangan sejumlah 4 unit/set yang siap digunakan oleh siswa dan guru SDN Maumbi dan SDN Inpres Watutumou, masing-masing 2 unit/set tempat cuci tangan. Kesimpulan : tercapaianya target pencegahan COVID-19, dengan perubahan perilaku dari siswa dengan melakukan cuci tangan pakai sabun secara mandiri di sekolah dan rumah masing-masing.","author":[{"dropping-particle":"","family":"Adam","given":"Yulien","non-dropping-particle":"","parse-names":false,"suffix":""},{"dropping-particle":"","family":"Purwandari","given":"Atik","non-dropping-particle":"","parse-names":false,"suffix":""},{"dropping-particle":"","family":"Lontaan","given":"Anita","non-dropping-particle":"","parse-names":false,"suffix":""},{"dropping-particle":"","family":"Montolalu","given":"Agnes","non-dropping-particle":"","parse-names":false,"suffix":""}],"container-title":"Jurnal Pengabdian Masyarakat Cendikia Jenius","id":"ITEM-1","issued":{"date-parts":[["2024"]]},"page":"9-16","title":"Jurnal Pengabdian Masyarakat Cendikia Jenius","type":"article-journal","volume":"1"},"uris":["http://www.mendeley.com/documents/?uuid=8d538f98-db89-4749-816d-14855aa9acc0"]}],"mendeley":{"formattedCitation":"(4)","plainTextFormattedCitation":"(4)","previouslyFormattedCitation":"(4)"},"properties":{"noteIndex":0},"schema":"https://github.com/citation-style-language/schema/raw/master/csl-citation.json"}</w:instrText>
      </w:r>
      <w:r w:rsidR="00254E89">
        <w:rPr>
          <w:rStyle w:val="longtext"/>
          <w:rFonts w:ascii="Arial" w:hAnsi="Arial" w:cs="Arial"/>
          <w:shd w:val="clear" w:color="auto" w:fill="FFFFFF"/>
        </w:rPr>
        <w:fldChar w:fldCharType="separate"/>
      </w:r>
      <w:r w:rsidR="00254E89" w:rsidRPr="00254E89">
        <w:rPr>
          <w:rStyle w:val="longtext"/>
          <w:rFonts w:ascii="Arial" w:hAnsi="Arial" w:cs="Arial"/>
          <w:noProof/>
          <w:shd w:val="clear" w:color="auto" w:fill="FFFFFF"/>
        </w:rPr>
        <w:t>(4)</w:t>
      </w:r>
      <w:r w:rsidR="00254E89">
        <w:rPr>
          <w:rStyle w:val="longtext"/>
          <w:rFonts w:ascii="Arial" w:hAnsi="Arial" w:cs="Arial"/>
          <w:shd w:val="clear" w:color="auto" w:fill="FFFFFF"/>
        </w:rPr>
        <w:fldChar w:fldCharType="end"/>
      </w:r>
      <w:r w:rsidR="000F3034" w:rsidRPr="000F3034">
        <w:rPr>
          <w:rStyle w:val="longtext"/>
          <w:rFonts w:ascii="Arial" w:hAnsi="Arial" w:cs="Arial"/>
          <w:shd w:val="clear" w:color="auto" w:fill="FFFFFF"/>
        </w:rPr>
        <w:t>, kebiasaan merokok, diabete</w:t>
      </w:r>
      <w:r w:rsidR="000F3034">
        <w:rPr>
          <w:rStyle w:val="longtext"/>
          <w:rFonts w:ascii="Arial" w:hAnsi="Arial" w:cs="Arial"/>
          <w:shd w:val="clear" w:color="auto" w:fill="FFFFFF"/>
        </w:rPr>
        <w:t>s, dan infeksi menular seksual</w:t>
      </w:r>
      <w:r w:rsidR="00254E89">
        <w:rPr>
          <w:rStyle w:val="longtext"/>
          <w:rFonts w:ascii="Arial" w:hAnsi="Arial" w:cs="Arial"/>
          <w:shd w:val="clear" w:color="auto" w:fill="FFFFFF"/>
        </w:rPr>
        <w:fldChar w:fldCharType="begin" w:fldLock="1"/>
      </w:r>
      <w:r w:rsidR="00254E89">
        <w:rPr>
          <w:rStyle w:val="longtext"/>
          <w:rFonts w:ascii="Arial" w:hAnsi="Arial" w:cs="Arial"/>
          <w:shd w:val="clear" w:color="auto" w:fill="FFFFFF"/>
        </w:rPr>
        <w:instrText>ADDIN CSL_CITATION {"citationItems":[{"id":"ITEM-1","itemData":{"DOI":"10.59110/rcsd.537","abstract":"Prevalensi Penyakit Tidak Menular (PTM) di Indonesia terus meningkat akibat perubahan gaya hidup dan urbanisasi. PTM tidak hanya menyerang usia lanjut, tetapi juga dapat terjadi pada usia muda. Pengabdian kepada masyarakat ini bertujuan untuk mendukung implementasi skrining PTM pada kelompok remaja Karang Taruna Tunas Harapan guna meningkatkan kesadaran akan pentingnya kesehatan sejak dini. Skrining dilakukan terhadap 24 peserta berusia 19–33 tahun menggunakan metode pengukuran antropometri (tinggi badan, berat badan, lingkar lengan atas), tekanan darah, kadar hemoglobin, serta kadar gula darah sewaktu dengan alat Easy Touch GCU. Hasil skrining menunjukkan bahwa 29,2% peserta memiliki status gizi kurang, 12,5% obesitas, 6,7% mengalami anemia, 11,1% terindikasi prediabetik, dan 8,4% mengalami hipertensi tingkat 1. Tindak lanjut dilakukan melalui edukasi kesehatan mengenai PTM, anemia, serta pengaturan pola makan dan gaya hidup. Tablet tambah darah diberikan kepada remaja putri sebagai langkah pencegahan anemia. Diperlukan dukungan dari pemerintah desa dan Karang Taruna dalam mengoptimalkan posyandu remaja agar kegiatan ini berkelanjutan. Program ini dapat menjadi model dalam deteksi dini PTM berbasis komunitas untuk meningkatkan kesehatan remaja secara berkelanjutan.","author":[{"dropping-particle":"","family":"Fadhilah","given":"Siti","non-dropping-particle":"","parse-names":false,"suffix":""},{"dropping-particle":"","family":"Rusliani","given":"Dian Monalisa","non-dropping-particle":"","parse-names":false,"suffix":""},{"dropping-particle":"","family":"Nuryati","given":"Arum","non-dropping-particle":"","parse-names":false,"suffix":""},{"dropping-particle":"","family":"Suryantara","given":"Bima","non-dropping-particle":"","parse-names":false,"suffix":""}],"container-title":"Room of Civil Society Development","id":"ITEM-1","issue":"1","issued":{"date-parts":[["2025"]]},"page":"222-233","title":"Deteksi Dini Faktor Risiko Penyakit Tidak Menular pada Remaja Karang Taruna: Skrining dan Upaya Pencegahan","type":"article-journal","volume":"4"},"uris":["http://www.mendeley.com/documents/?uuid=36b7f7f6-eae1-4d09-b063-a5318ddc2ad9"]}],"mendeley":{"formattedCitation":"(2)","plainTextFormattedCitation":"(2)","previouslyFormattedCitation":"(2)"},"properties":{"noteIndex":0},"schema":"https://github.com/citation-style-language/schema/raw/master/csl-citation.json"}</w:instrText>
      </w:r>
      <w:r w:rsidR="00254E89">
        <w:rPr>
          <w:rStyle w:val="longtext"/>
          <w:rFonts w:ascii="Arial" w:hAnsi="Arial" w:cs="Arial"/>
          <w:shd w:val="clear" w:color="auto" w:fill="FFFFFF"/>
        </w:rPr>
        <w:fldChar w:fldCharType="separate"/>
      </w:r>
      <w:r w:rsidR="00254E89" w:rsidRPr="00254E89">
        <w:rPr>
          <w:rStyle w:val="longtext"/>
          <w:rFonts w:ascii="Arial" w:hAnsi="Arial" w:cs="Arial"/>
          <w:noProof/>
          <w:shd w:val="clear" w:color="auto" w:fill="FFFFFF"/>
        </w:rPr>
        <w:t>(2)</w:t>
      </w:r>
      <w:r w:rsidR="00254E89">
        <w:rPr>
          <w:rStyle w:val="longtext"/>
          <w:rFonts w:ascii="Arial" w:hAnsi="Arial" w:cs="Arial"/>
          <w:shd w:val="clear" w:color="auto" w:fill="FFFFFF"/>
        </w:rPr>
        <w:fldChar w:fldCharType="end"/>
      </w:r>
      <w:r w:rsidR="000F3034">
        <w:rPr>
          <w:rStyle w:val="longtext"/>
          <w:rFonts w:ascii="Arial" w:hAnsi="Arial" w:cs="Arial"/>
          <w:shd w:val="clear" w:color="auto" w:fill="FFFFFF"/>
        </w:rPr>
        <w:t xml:space="preserve">. </w:t>
      </w:r>
    </w:p>
    <w:p w:rsidR="000F3034" w:rsidRDefault="00F21B1A" w:rsidP="00EC3F6C">
      <w:pPr>
        <w:pStyle w:val="IEEEParagraph"/>
        <w:ind w:left="360" w:firstLine="0"/>
        <w:rPr>
          <w:rStyle w:val="longtext"/>
          <w:rFonts w:ascii="Arial" w:hAnsi="Arial" w:cs="Arial"/>
          <w:shd w:val="clear" w:color="auto" w:fill="FFFFFF"/>
        </w:rPr>
      </w:pPr>
      <w:r w:rsidRPr="00F21B1A">
        <w:rPr>
          <w:rStyle w:val="longtext"/>
          <w:rFonts w:ascii="Arial" w:hAnsi="Arial" w:cs="Arial"/>
          <w:shd w:val="clear" w:color="auto" w:fill="FFFFFF"/>
        </w:rPr>
        <w:t>Faktor risiko perilaku, seperti penggunaan tembakau, kurangnya aktivitas fisik, konsumsi alkohol yang berbahaya, dan pola makan tidak sehat, semuanya meningkatkan risiko kematian</w:t>
      </w:r>
      <w:r w:rsidR="00254E89">
        <w:rPr>
          <w:rStyle w:val="longtext"/>
          <w:rFonts w:ascii="Arial" w:hAnsi="Arial" w:cs="Arial"/>
          <w:shd w:val="clear" w:color="auto" w:fill="FFFFFF"/>
        </w:rPr>
        <w:fldChar w:fldCharType="begin" w:fldLock="1"/>
      </w:r>
      <w:r w:rsidR="00254E89">
        <w:rPr>
          <w:rStyle w:val="longtext"/>
          <w:rFonts w:ascii="Arial" w:hAnsi="Arial" w:cs="Arial"/>
          <w:shd w:val="clear" w:color="auto" w:fill="FFFFFF"/>
        </w:rPr>
        <w:instrText>ADDIN CSL_CITATION {"citationItems":[{"id":"ITEM-1","itemData":{"DOI":"10.2147/IJGM.S226633","ISSN":"11787074","PMID":"31802930","abstract":"Background: The aim of this study was to investigate the prevalence and correlates of behavioral non-communicable diseases (NCD) risk factors among adolescents in Indonesia. Methods: Cross-sectional national data were analyzed from 11,124 in-school adolescents (mean age 14.0 years) of the Indonesia Global School-Based Student Health Survey (GSHS) in 2015. Seven behavioral NCD risk factors (substance use, dietary behavior, overweight or obesity, low physical activity, and sedentary behavior) were assessed by questionnaire in a classroom setting. Results: The prevalence of low physical activity was 87.8%, insufficient fruit and vegetable intake 76.8%, having soft drinks daily 27.9%, leisure-time sedentary behavior 27.3%, overweight or obesity 15.8%, current tobacco use 12.8%, and alcohol use 4.4%. From the seven behavioral NCD risk factors, the mean was 2.5 (SD=1.0), and almost half (46.5%) had at least three risk factors. In adjusted linear regression analysis, being a boy, increasing age and psychological distress increased the odds and hunger or food insecurity and parental support decreased the odds for having behavioral risk factors. Conclusion: A high co-occurrence of behavioral risk factors was identified. Several risk factors (older age, boys, distress, and poor parental support) were identified that can be targeted in intervention programs.","author":[{"dropping-particle":"","family":"Pengpid","given":"Supa","non-dropping-particle":"","parse-names":false,"suffix":""},{"dropping-particle":"","family":"Peltzer","given":"Karl","non-dropping-particle":"","parse-names":false,"suffix":""}],"container-title":"International Journal of General Medicine","id":"ITEM-1","issued":{"date-parts":[["2019"]]},"page":"387-394","title":"Behavioral risk factors of non-communicable diseases among a nationally representative sample of school-going adolescents in Indonesia","type":"article-journal","volume":"12"},"uris":["http://www.mendeley.com/documents/?uuid=d6a9e701-1bb9-4c28-8f3c-5006a2f58686"]}],"mendeley":{"formattedCitation":"(5)","plainTextFormattedCitation":"(5)","previouslyFormattedCitation":"(5)"},"properties":{"noteIndex":0},"schema":"https://github.com/citation-style-language/schema/raw/master/csl-citation.json"}</w:instrText>
      </w:r>
      <w:r w:rsidR="00254E89">
        <w:rPr>
          <w:rStyle w:val="longtext"/>
          <w:rFonts w:ascii="Arial" w:hAnsi="Arial" w:cs="Arial"/>
          <w:shd w:val="clear" w:color="auto" w:fill="FFFFFF"/>
        </w:rPr>
        <w:fldChar w:fldCharType="separate"/>
      </w:r>
      <w:r w:rsidR="00254E89" w:rsidRPr="00254E89">
        <w:rPr>
          <w:rStyle w:val="longtext"/>
          <w:rFonts w:ascii="Arial" w:hAnsi="Arial" w:cs="Arial"/>
          <w:noProof/>
          <w:shd w:val="clear" w:color="auto" w:fill="FFFFFF"/>
        </w:rPr>
        <w:t>(5)</w:t>
      </w:r>
      <w:r w:rsidR="00254E89">
        <w:rPr>
          <w:rStyle w:val="longtext"/>
          <w:rFonts w:ascii="Arial" w:hAnsi="Arial" w:cs="Arial"/>
          <w:shd w:val="clear" w:color="auto" w:fill="FFFFFF"/>
        </w:rPr>
        <w:fldChar w:fldCharType="end"/>
      </w:r>
      <w:r w:rsidRPr="00F21B1A">
        <w:rPr>
          <w:rStyle w:val="longtext"/>
          <w:rFonts w:ascii="Arial" w:hAnsi="Arial" w:cs="Arial"/>
          <w:shd w:val="clear" w:color="auto" w:fill="FFFFFF"/>
        </w:rPr>
        <w:t>.</w:t>
      </w:r>
      <w:r w:rsidR="00254E89">
        <w:rPr>
          <w:rStyle w:val="longtext"/>
          <w:rFonts w:ascii="Arial" w:hAnsi="Arial" w:cs="Arial"/>
          <w:shd w:val="clear" w:color="auto" w:fill="FFFFFF"/>
        </w:rPr>
        <w:t xml:space="preserve"> </w:t>
      </w:r>
      <w:r w:rsidR="000F3034" w:rsidRPr="000F3034">
        <w:rPr>
          <w:rStyle w:val="longtext"/>
          <w:rFonts w:ascii="Arial" w:hAnsi="Arial" w:cs="Arial"/>
          <w:shd w:val="clear" w:color="auto" w:fill="FFFFFF"/>
        </w:rPr>
        <w:t>Kurangnya aktivitas fisik serta pola makan tidak sehat menjadi faktor risiko utama terjadinya Penyakit Tidak Menular (PTM), yang kini tidak hanya menyerang usia lanjut tetapi juga kelompok usia muda, termasuk penyakit kardiovaskular, kanker, dan diabetes mellitus</w:t>
      </w:r>
      <w:r>
        <w:rPr>
          <w:rStyle w:val="longtext"/>
          <w:rFonts w:ascii="Arial" w:hAnsi="Arial" w:cs="Arial"/>
          <w:shd w:val="clear" w:color="auto" w:fill="FFFFFF"/>
        </w:rPr>
        <w:fldChar w:fldCharType="begin" w:fldLock="1"/>
      </w:r>
      <w:r w:rsidR="005F070A">
        <w:rPr>
          <w:rStyle w:val="longtext"/>
          <w:rFonts w:ascii="Arial" w:hAnsi="Arial" w:cs="Arial"/>
          <w:shd w:val="clear" w:color="auto" w:fill="FFFFFF"/>
        </w:rPr>
        <w:instrText>ADDIN CSL_CITATION {"citationItems":[{"id":"ITEM-1","itemData":{"author":[{"dropping-particle":"","family":"Aulina","given":"Choirun Nisak","non-dropping-particle":"","parse-names":false,"suffix":""},{"dropping-particle":"","family":"Nisak","given":"Khoirun","non-dropping-particle":"","parse-names":false,"suffix":""}],"container-title":"Jurnal Pengabdian Masyarakat dan aplikasi Teknologi (Adipati) Edukasi","id":"ITEM-1","issue":"01","issued":{"date-parts":[["2026"]]},"page":"7-14","title":"Edukasi dan Pemeriksaan Kesehatan Remaja di Pondok An-Nur Tanggulangin Sidoarjo","type":"article-journal","volume":"05"},"uris":["http://www.mendeley.com/documents/?uuid=c39244a7-b8eb-4e65-8c9f-38679025f147"]}],"mendeley":{"formattedCitation":"(3)","plainTextFormattedCitation":"(3)","previouslyFormattedCitation":"(3)"},"properties":{"noteIndex":0},"schema":"https://github.com/citation-style-language/schema/raw/master/csl-citation.json"}</w:instrText>
      </w:r>
      <w:r>
        <w:rPr>
          <w:rStyle w:val="longtext"/>
          <w:rFonts w:ascii="Arial" w:hAnsi="Arial" w:cs="Arial"/>
          <w:shd w:val="clear" w:color="auto" w:fill="FFFFFF"/>
        </w:rPr>
        <w:fldChar w:fldCharType="separate"/>
      </w:r>
      <w:r w:rsidRPr="00F21B1A">
        <w:rPr>
          <w:rStyle w:val="longtext"/>
          <w:rFonts w:ascii="Arial" w:hAnsi="Arial" w:cs="Arial"/>
          <w:noProof/>
          <w:shd w:val="clear" w:color="auto" w:fill="FFFFFF"/>
        </w:rPr>
        <w:t>(3)</w:t>
      </w:r>
      <w:r>
        <w:rPr>
          <w:rStyle w:val="longtext"/>
          <w:rFonts w:ascii="Arial" w:hAnsi="Arial" w:cs="Arial"/>
          <w:shd w:val="clear" w:color="auto" w:fill="FFFFFF"/>
        </w:rPr>
        <w:fldChar w:fldCharType="end"/>
      </w:r>
      <w:r w:rsidR="000F3034" w:rsidRPr="000F3034">
        <w:rPr>
          <w:rStyle w:val="longtext"/>
          <w:rFonts w:ascii="Arial" w:hAnsi="Arial" w:cs="Arial"/>
          <w:shd w:val="clear" w:color="auto" w:fill="FFFFFF"/>
        </w:rPr>
        <w:t>.</w:t>
      </w:r>
    </w:p>
    <w:p w:rsidR="00CE6CCD" w:rsidRDefault="00254E89" w:rsidP="00CE6CCD">
      <w:pPr>
        <w:pStyle w:val="IEEEParagraph"/>
        <w:ind w:left="360" w:firstLine="0"/>
        <w:rPr>
          <w:rStyle w:val="longtext"/>
          <w:rFonts w:ascii="Arial" w:hAnsi="Arial" w:cs="Arial"/>
          <w:shd w:val="clear" w:color="auto" w:fill="FFFFFF"/>
        </w:rPr>
      </w:pPr>
      <w:r>
        <w:rPr>
          <w:rStyle w:val="longtext"/>
          <w:rFonts w:ascii="Arial" w:hAnsi="Arial" w:cs="Arial"/>
          <w:shd w:val="clear" w:color="auto" w:fill="FFFFFF"/>
        </w:rPr>
        <w:t xml:space="preserve">       </w:t>
      </w:r>
      <w:r w:rsidR="00512264" w:rsidRPr="00512264">
        <w:rPr>
          <w:rStyle w:val="longtext"/>
          <w:rFonts w:ascii="Arial" w:hAnsi="Arial" w:cs="Arial"/>
          <w:shd w:val="clear" w:color="auto" w:fill="FFFFFF"/>
        </w:rPr>
        <w:t>Deteksi dini melalui pemeriksaan kesehatan komprehensif, termasuk pengukuran antropometri (berat badan, tinggi badan, Indeks Massa Tubuh), tekanan darah, kadar gula darah, dan indikator kesehatan lainnya, merupakan strategi penting dalam mengidentifikasi faktor risiko PTM pada remaja. Kegiatan skrining seperti ini terbukti dapat mengidentifikasi masalah kesehatan sejak awal dan menjadi dasar untuk pemberian edukasi kesehatan serta intervensi pencegahan yang sesuai</w:t>
      </w:r>
      <w:r w:rsidR="000F3034">
        <w:rPr>
          <w:rStyle w:val="longtext"/>
          <w:rFonts w:ascii="Arial" w:hAnsi="Arial" w:cs="Arial"/>
          <w:shd w:val="clear" w:color="auto" w:fill="FFFFFF"/>
        </w:rPr>
        <w:fldChar w:fldCharType="begin" w:fldLock="1"/>
      </w:r>
      <w:r w:rsidR="0055703E">
        <w:rPr>
          <w:rStyle w:val="longtext"/>
          <w:rFonts w:ascii="Arial" w:hAnsi="Arial" w:cs="Arial"/>
          <w:shd w:val="clear" w:color="auto" w:fill="FFFFFF"/>
        </w:rPr>
        <w:instrText>ADDIN CSL_CITATION {"citationItems":[{"id":"ITEM-1","itemData":{"DOI":"10.59110/rcsd.537","abstract":"Prevalensi Penyakit Tidak Menular (PTM) di Indonesia terus meningkat akibat perubahan gaya hidup dan urbanisasi. PTM tidak hanya menyerang usia lanjut, tetapi juga dapat terjadi pada usia muda. Pengabdian kepada masyarakat ini bertujuan untuk mendukung implementasi skrining PTM pada kelompok remaja Karang Taruna Tunas Harapan guna meningkatkan kesadaran akan pentingnya kesehatan sejak dini. Skrining dilakukan terhadap 24 peserta berusia 19–33 tahun menggunakan metode pengukuran antropometri (tinggi badan, berat badan, lingkar lengan atas), tekanan darah, kadar hemoglobin, serta kadar gula darah sewaktu dengan alat Easy Touch GCU. Hasil skrining menunjukkan bahwa 29,2% peserta memiliki status gizi kurang, 12,5% obesitas, 6,7% mengalami anemia, 11,1% terindikasi prediabetik, dan 8,4% mengalami hipertensi tingkat 1. Tindak lanjut dilakukan melalui edukasi kesehatan mengenai PTM, anemia, serta pengaturan pola makan dan gaya hidup. Tablet tambah darah diberikan kepada remaja putri sebagai langkah pencegahan anemia. Diperlukan dukungan dari pemerintah desa dan Karang Taruna dalam mengoptimalkan posyandu remaja agar kegiatan ini berkelanjutan. Program ini dapat menjadi model dalam deteksi dini PTM berbasis komunitas untuk meningkatkan kesehatan remaja secara berkelanjutan.","author":[{"dropping-particle":"","family":"Fadhilah","given":"Siti","non-dropping-particle":"","parse-names":false,"suffix":""},{"dropping-particle":"","family":"Rusliani","given":"Dian Monalisa","non-dropping-particle":"","parse-names":false,"suffix":""},{"dropping-particle":"","family":"Nuryati","given":"Arum","non-dropping-particle":"","parse-names":false,"suffix":""},{"dropping-particle":"","family":"Suryantara","given":"Bima","non-dropping-particle":"","parse-names":false,"suffix":""}],"container-title":"Room of Civil Society Development","id":"ITEM-1","issue":"1","issued":{"date-parts":[["2025"]]},"page":"222-233","title":"Deteksi Dini Faktor Risiko Penyakit Tidak Menular pada Remaja Karang Taruna: Skrining dan Upaya Pencegahan","type":"article-journal","volume":"4"},"uris":["http://www.mendeley.com/documents/?uuid=36b7f7f6-eae1-4d09-b063-a5318ddc2ad9"]}],"mendeley":{"formattedCitation":"(2)","plainTextFormattedCitation":"(2)","previouslyFormattedCitation":"(2)"},"properties":{"noteIndex":0},"schema":"https://github.com/citation-style-language/schema/raw/master/csl-citation.json"}</w:instrText>
      </w:r>
      <w:r w:rsidR="000F3034">
        <w:rPr>
          <w:rStyle w:val="longtext"/>
          <w:rFonts w:ascii="Arial" w:hAnsi="Arial" w:cs="Arial"/>
          <w:shd w:val="clear" w:color="auto" w:fill="FFFFFF"/>
        </w:rPr>
        <w:fldChar w:fldCharType="separate"/>
      </w:r>
      <w:r w:rsidR="000F3034" w:rsidRPr="000F3034">
        <w:rPr>
          <w:rStyle w:val="longtext"/>
          <w:rFonts w:ascii="Arial" w:hAnsi="Arial" w:cs="Arial"/>
          <w:noProof/>
          <w:shd w:val="clear" w:color="auto" w:fill="FFFFFF"/>
        </w:rPr>
        <w:t>(2)</w:t>
      </w:r>
      <w:r w:rsidR="000F3034">
        <w:rPr>
          <w:rStyle w:val="longtext"/>
          <w:rFonts w:ascii="Arial" w:hAnsi="Arial" w:cs="Arial"/>
          <w:shd w:val="clear" w:color="auto" w:fill="FFFFFF"/>
        </w:rPr>
        <w:fldChar w:fldCharType="end"/>
      </w:r>
      <w:r w:rsidR="00512264" w:rsidRPr="00512264">
        <w:rPr>
          <w:rStyle w:val="longtext"/>
          <w:rFonts w:ascii="Arial" w:hAnsi="Arial" w:cs="Arial"/>
          <w:shd w:val="clear" w:color="auto" w:fill="FFFFFF"/>
        </w:rPr>
        <w:t>.</w:t>
      </w:r>
      <w:r w:rsidRPr="00254E89">
        <w:t xml:space="preserve"> </w:t>
      </w:r>
      <w:r w:rsidR="00CE6CCD">
        <w:rPr>
          <w:rStyle w:val="longtext"/>
          <w:rFonts w:ascii="Arial" w:hAnsi="Arial" w:cs="Arial"/>
          <w:shd w:val="clear" w:color="auto" w:fill="FFFFFF"/>
        </w:rPr>
        <w:t xml:space="preserve"> </w:t>
      </w:r>
      <w:r>
        <w:rPr>
          <w:rStyle w:val="longtext"/>
          <w:rFonts w:ascii="Arial" w:hAnsi="Arial" w:cs="Arial"/>
          <w:shd w:val="clear" w:color="auto" w:fill="FFFFFF"/>
        </w:rPr>
        <w:t xml:space="preserve">Salah satu kendala </w:t>
      </w:r>
      <w:r w:rsidRPr="00254E89">
        <w:rPr>
          <w:rStyle w:val="longtext"/>
          <w:rFonts w:ascii="Arial" w:hAnsi="Arial" w:cs="Arial"/>
          <w:shd w:val="clear" w:color="auto" w:fill="FFFFFF"/>
        </w:rPr>
        <w:t xml:space="preserve">pelaksanaan pemeriksaan kesehatan adalah rendahnya kesadaran masyarakat untuk melakukan pemeriksaan secara rutin. </w:t>
      </w:r>
    </w:p>
    <w:p w:rsidR="00CE6CCD" w:rsidRDefault="00CE6CCD" w:rsidP="00254E89">
      <w:pPr>
        <w:pStyle w:val="IEEEParagraph"/>
        <w:ind w:left="360" w:firstLine="0"/>
        <w:rPr>
          <w:rStyle w:val="longtext"/>
          <w:rFonts w:ascii="Arial" w:hAnsi="Arial" w:cs="Arial"/>
          <w:shd w:val="clear" w:color="auto" w:fill="FFFFFF"/>
        </w:rPr>
      </w:pPr>
    </w:p>
    <w:p w:rsidR="00254E89" w:rsidRDefault="00254E89" w:rsidP="00254E89">
      <w:pPr>
        <w:pStyle w:val="IEEEParagraph"/>
        <w:ind w:left="360" w:firstLine="0"/>
        <w:rPr>
          <w:rStyle w:val="longtext"/>
          <w:rFonts w:ascii="Arial" w:hAnsi="Arial" w:cs="Arial"/>
          <w:shd w:val="clear" w:color="auto" w:fill="FFFFFF"/>
        </w:rPr>
      </w:pPr>
      <w:r w:rsidRPr="00254E89">
        <w:rPr>
          <w:rStyle w:val="longtext"/>
          <w:rFonts w:ascii="Arial" w:hAnsi="Arial" w:cs="Arial"/>
          <w:shd w:val="clear" w:color="auto" w:fill="FFFFFF"/>
        </w:rPr>
        <w:t>Sebagian besar individu baru memeriksakan diri ketika telah merasakan keluhan atau gejala penyakit, padahal skrining berkala penting untuk mendeteksi kondisi kesehatan sejak dini. Selain itu, faktor biaya  menjadi hambatan, karena beberapa pemeriksaan dasar seperti pengukuran suhu tubuh, tekanan darah, kadar glukosa, dan berat badan masih dianggap memberatkan bagi sebagian masyarakat, sehingga menurunkan minat untuk melak</w:t>
      </w:r>
      <w:r>
        <w:rPr>
          <w:rStyle w:val="longtext"/>
          <w:rFonts w:ascii="Arial" w:hAnsi="Arial" w:cs="Arial"/>
          <w:shd w:val="clear" w:color="auto" w:fill="FFFFFF"/>
        </w:rPr>
        <w:t>ukan pemeriksaan secara berkala</w:t>
      </w:r>
      <w:r>
        <w:rPr>
          <w:rStyle w:val="longtext"/>
          <w:rFonts w:ascii="Arial" w:hAnsi="Arial" w:cs="Arial"/>
          <w:shd w:val="clear" w:color="auto" w:fill="FFFFFF"/>
        </w:rPr>
        <w:fldChar w:fldCharType="begin" w:fldLock="1"/>
      </w:r>
      <w:r w:rsidR="005F070A">
        <w:rPr>
          <w:rStyle w:val="longtext"/>
          <w:rFonts w:ascii="Arial" w:hAnsi="Arial" w:cs="Arial"/>
          <w:shd w:val="clear" w:color="auto" w:fill="FFFFFF"/>
        </w:rPr>
        <w:instrText>ADDIN CSL_CITATION {"citationItems":[{"id":"ITEM-1","itemData":{"author":[{"dropping-particle":"","family":"Fathurohman","given":"Mochamad","non-dropping-particle":"","parse-names":false,"suffix":""},{"dropping-particle":"","family":"Tri","given":"Anindita","non-dropping-particle":"","parse-names":false,"suffix":""},{"dropping-particle":"","family":"Partita","given":"Kusuma","non-dropping-particle":"","parse-names":false,"suffix":""},{"dropping-particle":"","family":"Salasanti","given":"Citra Dewi","non-dropping-particle":"","parse-names":false,"suffix":""},{"dropping-particle":"","family":"Hidayati","given":"Nurlaili Dwi","non-dropping-particle":"","parse-names":false,"suffix":""},{"dropping-particle":"","family":"Rahayuningsih","given":"Nur","non-dropping-particle":"","parse-names":false,"suffix":""},{"dropping-particle":"","family":"Nofianti","given":"Tita","non-dropping-particle":"","parse-names":false,"suffix":""},{"dropping-particle":"","family":"Lestari","given":"Tresna","non-dropping-particle":"","parse-names":false,"suffix":""},{"dropping-particle":"","family":"Nurviana","given":"Vera","non-dropping-particle":"","parse-names":false,"suffix":""}],"container-title":"Jurnal Masyarakat Mandiri","id":"ITEM-1","issue":"2","issued":{"date-parts":[["2024"]]},"page":"1-4","title":"PENYULUHAN KESEHATAN TERHADAP PELAJAR DI SEKOLAH MENENGAH ATAS SEBAGAI UPAYA MEWUJUDKAN PROGRAM PELAYANAN KESEHATAN PEDULI REMAJA","type":"article-journal","volume":"8"},"uris":["http://www.mendeley.com/documents/?uuid=5adb6073-2d06-4fbb-b9ae-25e9ff00643d"]}],"mendeley":{"formattedCitation":"(6)","plainTextFormattedCitation":"(6)","previouslyFormattedCitation":"(6)"},"properties":{"noteIndex":0},"schema":"https://github.com/citation-style-language/schema/raw/master/csl-citation.json"}</w:instrText>
      </w:r>
      <w:r>
        <w:rPr>
          <w:rStyle w:val="longtext"/>
          <w:rFonts w:ascii="Arial" w:hAnsi="Arial" w:cs="Arial"/>
          <w:shd w:val="clear" w:color="auto" w:fill="FFFFFF"/>
        </w:rPr>
        <w:fldChar w:fldCharType="separate"/>
      </w:r>
      <w:r w:rsidRPr="00254E89">
        <w:rPr>
          <w:rStyle w:val="longtext"/>
          <w:rFonts w:ascii="Arial" w:hAnsi="Arial" w:cs="Arial"/>
          <w:noProof/>
          <w:shd w:val="clear" w:color="auto" w:fill="FFFFFF"/>
        </w:rPr>
        <w:t>(6)</w:t>
      </w:r>
      <w:r>
        <w:rPr>
          <w:rStyle w:val="longtext"/>
          <w:rFonts w:ascii="Arial" w:hAnsi="Arial" w:cs="Arial"/>
          <w:shd w:val="clear" w:color="auto" w:fill="FFFFFF"/>
        </w:rPr>
        <w:fldChar w:fldCharType="end"/>
      </w:r>
      <w:r>
        <w:rPr>
          <w:rStyle w:val="longtext"/>
          <w:rFonts w:ascii="Arial" w:hAnsi="Arial" w:cs="Arial"/>
          <w:shd w:val="clear" w:color="auto" w:fill="FFFFFF"/>
        </w:rPr>
        <w:t xml:space="preserve">.  </w:t>
      </w:r>
    </w:p>
    <w:p w:rsidR="00254E89" w:rsidRDefault="00254E89" w:rsidP="00254E89">
      <w:pPr>
        <w:pStyle w:val="IEEEParagraph"/>
        <w:ind w:left="360" w:firstLine="0"/>
        <w:rPr>
          <w:rStyle w:val="longtext"/>
          <w:rFonts w:ascii="Arial" w:hAnsi="Arial" w:cs="Arial"/>
          <w:shd w:val="clear" w:color="auto" w:fill="FFFFFF"/>
        </w:rPr>
      </w:pPr>
      <w:r>
        <w:rPr>
          <w:rStyle w:val="longtext"/>
          <w:rFonts w:ascii="Arial" w:hAnsi="Arial" w:cs="Arial"/>
          <w:shd w:val="clear" w:color="auto" w:fill="FFFFFF"/>
        </w:rPr>
        <w:t xml:space="preserve">       </w:t>
      </w:r>
      <w:r w:rsidRPr="00254E89">
        <w:rPr>
          <w:rStyle w:val="longtext"/>
          <w:rFonts w:ascii="Arial" w:hAnsi="Arial" w:cs="Arial"/>
          <w:shd w:val="clear" w:color="auto" w:fill="FFFFFF"/>
        </w:rPr>
        <w:t>Pengaturan mengenai Pemeriksaan Kesehatan Gratis (PKG) diatur dalam Keputusan Menteri Kesehatan Republik Indonesia Nomor HK 01.07/Menkes/33/2025 tentang Petunjuk Teknis Pemeriksaan Kesehatan Gratis dalam rangka Hari Ulang Tahun. Program tersebut menjadi landasan pelaksanaan kegiatan pemeriksaan kesehatan tanpa biaya bagi masyarakat sesuai dengan ketentuan yang telah ditetapkan</w:t>
      </w:r>
      <w:r>
        <w:rPr>
          <w:rStyle w:val="longtext"/>
          <w:rFonts w:ascii="Arial" w:hAnsi="Arial" w:cs="Arial"/>
          <w:shd w:val="clear" w:color="auto" w:fill="FFFFFF"/>
        </w:rPr>
        <w:fldChar w:fldCharType="begin" w:fldLock="1"/>
      </w:r>
      <w:r w:rsidR="00B9238B">
        <w:rPr>
          <w:rStyle w:val="longtext"/>
          <w:rFonts w:ascii="Arial" w:hAnsi="Arial" w:cs="Arial"/>
          <w:shd w:val="clear" w:color="auto" w:fill="FFFFFF"/>
        </w:rPr>
        <w:instrText>ADDIN CSL_CITATION {"citationItems":[{"id":"ITEM-1","itemData":{"DOI":"10.58516/7cdb8h62","abstract":"Pemeriksaan Kesehatan Gratis (PKG) tertuang pada Keputusan Menteri Kesehatan Republik Indonesia Nomor HK 01.07/Menkes/33/2025 tentang Petunjuk Teknis Pemeriksaan Kesehatan Gratis Hari Ulang Tahun. Program ini dilaksanakan serentak di seluruh puskesmas di Indonesia mulai bulan Februari 2025. Sasaran kegiatan PKG adalah bayi baru lahir (2 hari), balita, dan anak usia pra sekolah (1-6 tahun), usia sekolah dan remaja (7-17 tahun), dewasa (18-59 tahun), dan usia lanjut (&gt;60 tahun). Program ini diinisiasi untuk meningkatkan kualitas hidup masyarakat dan kemampuan untuk mendeteksi masalah sejak dini. Tujuan kegiatan pengabdian masyarakat ini untuk memperluas informasi tentang PKG sehingga dapat meningkatkan cakupan PKG di Kabupaten Kudus. Metode yang digunakan adalah koordinasi dengan puskesmas, pemetaan media sosial dan target sasaran, serta penyusunan media dan penyebaran informasi PKG, dengan target seluruh warga Kabupaten Kudus. Hasil dari kegiatan pengabdian masyarakat adalah telah disusun media poster digital dan video edukasi PKG, selanjutnya media tersebut dipublikasikan melalui media sosial WhatsApp, Instagram, Facebook, dan Youtube.Free Health Screening are stipulated in the Decree of the Minister of Health of the Republic of Indonesia Number HK 01.07/Menkes/33/2025 concerning Technical Guidelines for Free Birthday Health Check-ups. This program was implemented simultaneously in all community health centers in Indonesia starting in February 2025. The targets of Free Health Screening activities are newborns (2 days old), toddlers, and pre-school children (1-6 years old), school-age and adolescents (7-17 years old), adults (18-59 years old), and the elderly (&gt;60 years old). This program was initiated to improve the community's quality of life and the ability to detect problems early. The purpose of this community service activity is to expand information about Free Health Screening so that it can increase Free Health Screening coverage in Kudus Regency. The methods used are coordination with community health centers, mapping social media and target audiences, as well as compiling media and disseminating Free Health Screening information, targeting all residents of Kudus Regency. The results of the community service activities are the creation of digital poster media and Free Health Screening educational videos, which are then published through social media WhatsApp, Instagram, Facebook, and YouTube.","author":[{"dropping-particle":"","family":"Dewi","given":"Ervi Rachma","non-dropping-particle":"","parse-names":false,"suffix":""},{"dropping-particle":"","family":"Ulfa","given":"Maria","non-dropping-particle":"","parse-names":false,"suffix":""},{"dropping-particle":"","family":"Caesar","given":"David Laksamana","non-dropping-particle":"","parse-names":false,"suffix":""},{"dropping-particle":"","family":"Prasetyo","given":"Eko","non-dropping-particle":"","parse-names":false,"suffix":""},{"dropping-particle":"","family":"Wachid","given":"Abdul","non-dropping-particle":"","parse-names":false,"suffix":""},{"dropping-particle":"","family":"Mubaroq","given":"Muhammad Husni","non-dropping-particle":"","parse-names":false,"suffix":""}],"container-title":"Jurnal Pengabdian Masyarakat Kesehatan Terkini","id":"ITEM-1","issue":"2","issued":{"date-parts":[["2025"]]},"page":"73-81","title":"Pemanfaatan Media Sosial dalam Upaya Meningkatkan Pemeriksaan Kesehatan Gratis (PKG) bagi Masyarakat Kabupaten Kudus","type":"article-journal","volume":"4"},"uris":["http://www.mendeley.com/documents/?uuid=a401aa3b-f182-419f-bb33-901ec70dee05"]}],"mendeley":{"formattedCitation":"(7)","plainTextFormattedCitation":"(7)","previouslyFormattedCitation":"(7)"},"properties":{"noteIndex":0},"schema":"https://github.com/citation-style-language/schema/raw/master/csl-citation.json"}</w:instrText>
      </w:r>
      <w:r>
        <w:rPr>
          <w:rStyle w:val="longtext"/>
          <w:rFonts w:ascii="Arial" w:hAnsi="Arial" w:cs="Arial"/>
          <w:shd w:val="clear" w:color="auto" w:fill="FFFFFF"/>
        </w:rPr>
        <w:fldChar w:fldCharType="separate"/>
      </w:r>
      <w:r w:rsidRPr="00254E89">
        <w:rPr>
          <w:rStyle w:val="longtext"/>
          <w:rFonts w:ascii="Arial" w:hAnsi="Arial" w:cs="Arial"/>
          <w:noProof/>
          <w:shd w:val="clear" w:color="auto" w:fill="FFFFFF"/>
        </w:rPr>
        <w:t>(7)</w:t>
      </w:r>
      <w:r>
        <w:rPr>
          <w:rStyle w:val="longtext"/>
          <w:rFonts w:ascii="Arial" w:hAnsi="Arial" w:cs="Arial"/>
          <w:shd w:val="clear" w:color="auto" w:fill="FFFFFF"/>
        </w:rPr>
        <w:fldChar w:fldCharType="end"/>
      </w:r>
      <w:r w:rsidRPr="00254E89">
        <w:rPr>
          <w:rStyle w:val="longtext"/>
          <w:rFonts w:ascii="Arial" w:hAnsi="Arial" w:cs="Arial"/>
          <w:shd w:val="clear" w:color="auto" w:fill="FFFFFF"/>
        </w:rPr>
        <w:t>.</w:t>
      </w:r>
    </w:p>
    <w:p w:rsidR="00254E89" w:rsidRDefault="001A75F1" w:rsidP="001A75F1">
      <w:pPr>
        <w:pStyle w:val="IEEEParagraph"/>
        <w:ind w:left="360" w:firstLine="0"/>
        <w:rPr>
          <w:rStyle w:val="longtext"/>
          <w:rFonts w:ascii="Arial" w:hAnsi="Arial" w:cs="Arial"/>
          <w:shd w:val="clear" w:color="auto" w:fill="FFFFFF"/>
        </w:rPr>
      </w:pPr>
      <w:r>
        <w:rPr>
          <w:rStyle w:val="longtext"/>
          <w:rFonts w:ascii="Arial" w:hAnsi="Arial" w:cs="Arial"/>
          <w:shd w:val="clear" w:color="auto" w:fill="FFFFFF"/>
        </w:rPr>
        <w:t xml:space="preserve">       </w:t>
      </w:r>
      <w:r w:rsidR="00254E89" w:rsidRPr="00254E89">
        <w:rPr>
          <w:rStyle w:val="longtext"/>
          <w:rFonts w:ascii="Arial" w:hAnsi="Arial" w:cs="Arial"/>
          <w:shd w:val="clear" w:color="auto" w:fill="FFFFFF"/>
        </w:rPr>
        <w:t>Pengabdian kepada masyarakat yang dilaksanakan oleh mahasiswa ini bertujuan untuk memberikan layanan pemeriksaan kesehatan gratis, meliputi, tekanan darah, kadar glukosa darah, dan berat badan, serta melakukan deteksi dini terhadap potensi masalah kesehatan pada remaja melalui program Pelayanan Kesehatan Peduli Remaja (PKPR) di SMK HKTI Temanggung, Jawa Tengah.</w:t>
      </w:r>
    </w:p>
    <w:p w:rsidR="00512264" w:rsidRDefault="00512264" w:rsidP="00EC3F6C">
      <w:pPr>
        <w:pStyle w:val="IEEEParagraph"/>
        <w:ind w:left="360" w:firstLine="0"/>
        <w:rPr>
          <w:rStyle w:val="longtext"/>
          <w:rFonts w:ascii="Arial" w:hAnsi="Arial" w:cs="Arial"/>
          <w:shd w:val="clear" w:color="auto" w:fill="FFFFFF"/>
        </w:rPr>
      </w:pPr>
    </w:p>
    <w:p w:rsidR="001218D3" w:rsidRPr="00EC3F6C" w:rsidRDefault="00E70EE3" w:rsidP="00EC3F6C">
      <w:pPr>
        <w:pStyle w:val="IEEEHeading1"/>
        <w:numPr>
          <w:ilvl w:val="0"/>
          <w:numId w:val="11"/>
        </w:numPr>
        <w:spacing w:before="0" w:after="0"/>
        <w:jc w:val="left"/>
        <w:rPr>
          <w:rFonts w:ascii="Arial" w:hAnsi="Arial" w:cs="Arial"/>
          <w:b/>
          <w:sz w:val="24"/>
          <w:lang w:val="id-ID"/>
        </w:rPr>
      </w:pPr>
      <w:r w:rsidRPr="00EC3F6C">
        <w:rPr>
          <w:rFonts w:ascii="Arial" w:hAnsi="Arial" w:cs="Arial"/>
          <w:b/>
          <w:iCs/>
          <w:sz w:val="24"/>
          <w:lang w:val="id-ID"/>
        </w:rPr>
        <w:t>METODE</w:t>
      </w:r>
      <w:r w:rsidR="00B3521D" w:rsidRPr="00EC3F6C">
        <w:rPr>
          <w:rFonts w:ascii="Arial" w:hAnsi="Arial" w:cs="Arial"/>
          <w:b/>
          <w:iCs/>
          <w:sz w:val="24"/>
          <w:lang w:val="en-US"/>
        </w:rPr>
        <w:t xml:space="preserve"> </w:t>
      </w:r>
      <w:r w:rsidR="00922A80" w:rsidRPr="00EC3F6C">
        <w:rPr>
          <w:rFonts w:ascii="Arial" w:hAnsi="Arial" w:cs="Arial"/>
          <w:b/>
          <w:iCs/>
          <w:sz w:val="24"/>
          <w:lang w:val="en-US"/>
        </w:rPr>
        <w:t>PELAKSANAAN</w:t>
      </w:r>
    </w:p>
    <w:p w:rsidR="00AC1F9C" w:rsidRPr="00EC3F6C" w:rsidRDefault="009D435A" w:rsidP="005B0435">
      <w:pPr>
        <w:pStyle w:val="IEEEParagraph"/>
        <w:ind w:left="360"/>
        <w:rPr>
          <w:rFonts w:ascii="Arial" w:hAnsi="Arial" w:cs="Arial"/>
          <w:lang w:val="fi-FI"/>
        </w:rPr>
      </w:pPr>
      <w:r w:rsidRPr="00EC3F6C">
        <w:rPr>
          <w:rFonts w:ascii="Arial" w:hAnsi="Arial" w:cs="Arial"/>
          <w:lang w:val="fi-FI"/>
        </w:rPr>
        <w:t xml:space="preserve">       </w:t>
      </w:r>
      <w:r w:rsidR="001A75F1">
        <w:rPr>
          <w:rFonts w:ascii="Arial" w:hAnsi="Arial" w:cs="Arial"/>
          <w:lang w:val="fi-FI"/>
        </w:rPr>
        <w:t xml:space="preserve">Pengabdian kepada masyarakat dilakukan oleh empat orang mahasiswa didampingi satu orang dosen. </w:t>
      </w:r>
      <w:r w:rsidR="00E836FF">
        <w:rPr>
          <w:rFonts w:ascii="Arial" w:hAnsi="Arial" w:cs="Arial"/>
          <w:lang w:val="fi-FI"/>
        </w:rPr>
        <w:t xml:space="preserve">Mitra dari kegiatan ini yaitu SMK HKTI Temanggung. </w:t>
      </w:r>
      <w:r w:rsidR="00AC1F9C" w:rsidRPr="00EC3F6C">
        <w:rPr>
          <w:rFonts w:ascii="Arial" w:hAnsi="Arial" w:cs="Arial"/>
          <w:lang w:val="fi-FI"/>
        </w:rPr>
        <w:t xml:space="preserve">Kegiatan </w:t>
      </w:r>
      <w:r w:rsidR="00E836FF">
        <w:rPr>
          <w:rFonts w:ascii="Arial" w:hAnsi="Arial" w:cs="Arial"/>
          <w:lang w:val="fi-FI"/>
        </w:rPr>
        <w:t>pengabdian kepada masyarakat</w:t>
      </w:r>
      <w:r w:rsidR="00AC1F9C" w:rsidRPr="00EC3F6C">
        <w:rPr>
          <w:rFonts w:ascii="Arial" w:hAnsi="Arial" w:cs="Arial"/>
          <w:lang w:val="fi-FI"/>
        </w:rPr>
        <w:t xml:space="preserve"> </w:t>
      </w:r>
      <w:r w:rsidR="001A75F1">
        <w:rPr>
          <w:rFonts w:ascii="Arial" w:hAnsi="Arial" w:cs="Arial"/>
          <w:lang w:val="fi-FI"/>
        </w:rPr>
        <w:t>dilaksanakan dalam bentuk pemeriksaan kesehatan gratis</w:t>
      </w:r>
      <w:r w:rsidR="00E836FF">
        <w:rPr>
          <w:rFonts w:ascii="Arial" w:hAnsi="Arial" w:cs="Arial"/>
          <w:lang w:val="fi-FI"/>
        </w:rPr>
        <w:t>. Acara berlangsung</w:t>
      </w:r>
      <w:r w:rsidR="001A75F1">
        <w:rPr>
          <w:rFonts w:ascii="Arial" w:hAnsi="Arial" w:cs="Arial"/>
          <w:lang w:val="fi-FI"/>
        </w:rPr>
        <w:t xml:space="preserve">  selama 2 hari </w:t>
      </w:r>
      <w:r w:rsidR="00E836FF">
        <w:rPr>
          <w:rFonts w:ascii="Arial" w:hAnsi="Arial" w:cs="Arial"/>
          <w:lang w:val="fi-FI"/>
        </w:rPr>
        <w:t xml:space="preserve">sejak </w:t>
      </w:r>
      <w:r w:rsidR="001A75F1">
        <w:rPr>
          <w:rFonts w:ascii="Arial" w:hAnsi="Arial" w:cs="Arial"/>
          <w:lang w:val="fi-FI"/>
        </w:rPr>
        <w:t>tanggal 12-14</w:t>
      </w:r>
      <w:r w:rsidR="00AC1F9C" w:rsidRPr="00EC3F6C">
        <w:rPr>
          <w:rFonts w:ascii="Arial" w:hAnsi="Arial" w:cs="Arial"/>
          <w:lang w:val="fi-FI"/>
        </w:rPr>
        <w:t xml:space="preserve"> Agustus 2024. </w:t>
      </w:r>
      <w:r w:rsidR="00E836FF">
        <w:rPr>
          <w:rFonts w:ascii="Arial" w:hAnsi="Arial" w:cs="Arial"/>
          <w:lang w:val="fi-FI"/>
        </w:rPr>
        <w:t xml:space="preserve">Sasaran utama peserta seluruhcivitas akademika seperti </w:t>
      </w:r>
      <w:r w:rsidR="001A75F1">
        <w:rPr>
          <w:rFonts w:ascii="Arial" w:hAnsi="Arial" w:cs="Arial"/>
          <w:lang w:val="fi-FI"/>
        </w:rPr>
        <w:t>siswa</w:t>
      </w:r>
      <w:r w:rsidR="00770243">
        <w:rPr>
          <w:rFonts w:ascii="Arial" w:hAnsi="Arial" w:cs="Arial"/>
          <w:lang w:val="fi-FI"/>
        </w:rPr>
        <w:t xml:space="preserve">, </w:t>
      </w:r>
      <w:r w:rsidR="001A75F1">
        <w:rPr>
          <w:rFonts w:ascii="Arial" w:hAnsi="Arial" w:cs="Arial"/>
          <w:lang w:val="fi-FI"/>
        </w:rPr>
        <w:t>guru atau karyawan di lingkungan SMK HKTI temanggung</w:t>
      </w:r>
      <w:r w:rsidR="00770243">
        <w:rPr>
          <w:rFonts w:ascii="Arial" w:hAnsi="Arial" w:cs="Arial"/>
          <w:lang w:val="fi-FI"/>
        </w:rPr>
        <w:t xml:space="preserve">. </w:t>
      </w:r>
      <w:r w:rsidR="00E836FF" w:rsidRPr="00E836FF">
        <w:rPr>
          <w:rFonts w:ascii="Arial" w:hAnsi="Arial" w:cs="Arial"/>
          <w:lang w:val="fi-FI"/>
        </w:rPr>
        <w:t xml:space="preserve">Sebelum pelaksanaan kegiatan tim pengabdi mempersiapkan peralatan dan bahan </w:t>
      </w:r>
      <w:r w:rsidR="00E17AA8">
        <w:rPr>
          <w:rFonts w:ascii="Arial" w:hAnsi="Arial" w:cs="Arial"/>
          <w:lang w:val="fi-FI"/>
        </w:rPr>
        <w:t>sesuai kebutuh</w:t>
      </w:r>
      <w:r w:rsidR="00E836FF" w:rsidRPr="00E836FF">
        <w:rPr>
          <w:rFonts w:ascii="Arial" w:hAnsi="Arial" w:cs="Arial"/>
          <w:lang w:val="fi-FI"/>
        </w:rPr>
        <w:t xml:space="preserve">an. </w:t>
      </w:r>
      <w:r w:rsidR="00E17AA8">
        <w:rPr>
          <w:rFonts w:ascii="Arial" w:hAnsi="Arial" w:cs="Arial"/>
          <w:lang w:val="fi-FI"/>
        </w:rPr>
        <w:t>Terdapat tiga jenis pemeriksaan kesehatan. Pemeriksaan tekanan darah, berat badan dan gula darah. Peralatan</w:t>
      </w:r>
      <w:r w:rsidR="00E836FF" w:rsidRPr="00E836FF">
        <w:rPr>
          <w:rFonts w:ascii="Arial" w:hAnsi="Arial" w:cs="Arial"/>
          <w:lang w:val="fi-FI"/>
        </w:rPr>
        <w:t xml:space="preserve"> yang dipersiapkan meliputi timbangan berat badan untuk mengukur berat badan, </w:t>
      </w:r>
      <w:r w:rsidR="00E17AA8">
        <w:rPr>
          <w:rFonts w:ascii="Arial" w:hAnsi="Arial" w:cs="Arial"/>
          <w:lang w:val="fi-FI"/>
        </w:rPr>
        <w:t>stik dan glukometer untuk memeriksa gula darah, dan tensimeter untuk mengukur tekanan darah</w:t>
      </w:r>
      <w:r w:rsidR="00E836FF" w:rsidRPr="00E836FF">
        <w:rPr>
          <w:rFonts w:ascii="Arial" w:hAnsi="Arial" w:cs="Arial"/>
          <w:lang w:val="fi-FI"/>
        </w:rPr>
        <w:t xml:space="preserve">. </w:t>
      </w:r>
      <w:r w:rsidR="005B0435" w:rsidRPr="005B0435">
        <w:rPr>
          <w:rFonts w:ascii="Arial" w:hAnsi="Arial" w:cs="Arial"/>
          <w:lang w:val="fi-FI"/>
        </w:rPr>
        <w:t>Per</w:t>
      </w:r>
      <w:r w:rsidR="005B0435">
        <w:rPr>
          <w:rFonts w:ascii="Arial" w:hAnsi="Arial" w:cs="Arial"/>
          <w:lang w:val="fi-FI"/>
        </w:rPr>
        <w:t>an mitra dalam kegiatan</w:t>
      </w:r>
      <w:r w:rsidR="005B0435" w:rsidRPr="005B0435">
        <w:rPr>
          <w:rFonts w:ascii="Arial" w:hAnsi="Arial" w:cs="Arial"/>
          <w:lang w:val="fi-FI"/>
        </w:rPr>
        <w:t xml:space="preserve"> membantu dalam kelancaran pelaksanaan kegiatan, mengkoordinir </w:t>
      </w:r>
      <w:r w:rsidR="005B0435">
        <w:rPr>
          <w:rFonts w:ascii="Arial" w:hAnsi="Arial" w:cs="Arial"/>
          <w:lang w:val="fi-FI"/>
        </w:rPr>
        <w:t xml:space="preserve">siswa dan anngota sekolah </w:t>
      </w:r>
      <w:r w:rsidR="005B0435" w:rsidRPr="005B0435">
        <w:rPr>
          <w:rFonts w:ascii="Arial" w:hAnsi="Arial" w:cs="Arial"/>
          <w:lang w:val="fi-FI"/>
        </w:rPr>
        <w:t>dalam kegiatan pemeriksaan.</w:t>
      </w:r>
    </w:p>
    <w:p w:rsidR="006C4368" w:rsidRPr="001C0CCC" w:rsidRDefault="006C4368" w:rsidP="00EC3F6C">
      <w:pPr>
        <w:pStyle w:val="IEEEParagraph"/>
        <w:ind w:firstLine="360"/>
        <w:rPr>
          <w:rFonts w:ascii="Arial" w:hAnsi="Arial" w:cs="Arial"/>
          <w:lang w:val="sv-SE"/>
        </w:rPr>
      </w:pPr>
    </w:p>
    <w:p w:rsidR="006C4368" w:rsidRPr="00EC3F6C" w:rsidRDefault="006C4368" w:rsidP="00EC3F6C">
      <w:pPr>
        <w:pStyle w:val="IEEEHeading1"/>
        <w:numPr>
          <w:ilvl w:val="0"/>
          <w:numId w:val="11"/>
        </w:numPr>
        <w:spacing w:before="0" w:after="0"/>
        <w:ind w:left="357"/>
        <w:jc w:val="left"/>
        <w:rPr>
          <w:rFonts w:ascii="Arial" w:hAnsi="Arial" w:cs="Arial"/>
          <w:b/>
          <w:iCs/>
          <w:sz w:val="24"/>
          <w:lang w:val="en-US"/>
        </w:rPr>
      </w:pPr>
      <w:r w:rsidRPr="00EC3F6C">
        <w:rPr>
          <w:rFonts w:ascii="Arial" w:hAnsi="Arial" w:cs="Arial"/>
          <w:b/>
          <w:iCs/>
          <w:sz w:val="24"/>
          <w:lang w:val="id-ID"/>
        </w:rPr>
        <w:t>HASIL</w:t>
      </w:r>
      <w:r w:rsidRPr="00EC3F6C">
        <w:rPr>
          <w:rFonts w:ascii="Arial" w:hAnsi="Arial" w:cs="Arial"/>
          <w:b/>
          <w:iCs/>
          <w:sz w:val="24"/>
          <w:lang w:val="en-US"/>
        </w:rPr>
        <w:t xml:space="preserve"> DAN PEMBAHASAN</w:t>
      </w:r>
    </w:p>
    <w:p w:rsidR="00BE340C" w:rsidRDefault="00BE340C" w:rsidP="00EC3F6C">
      <w:pPr>
        <w:pStyle w:val="IEEEHeading1"/>
        <w:numPr>
          <w:ilvl w:val="0"/>
          <w:numId w:val="0"/>
        </w:numPr>
        <w:spacing w:before="0" w:after="0"/>
        <w:ind w:left="357"/>
        <w:jc w:val="left"/>
        <w:rPr>
          <w:rFonts w:ascii="Arial" w:hAnsi="Arial" w:cs="Arial"/>
          <w:b/>
          <w:iCs/>
          <w:sz w:val="24"/>
          <w:lang w:val="id-ID"/>
        </w:rPr>
      </w:pPr>
      <w:r w:rsidRPr="00EC3F6C">
        <w:rPr>
          <w:rFonts w:ascii="Arial" w:hAnsi="Arial" w:cs="Arial"/>
          <w:b/>
          <w:iCs/>
          <w:sz w:val="24"/>
          <w:lang w:val="en-US"/>
        </w:rPr>
        <w:t xml:space="preserve">1. </w:t>
      </w:r>
      <w:r w:rsidRPr="00EC3F6C">
        <w:rPr>
          <w:rFonts w:ascii="Arial" w:hAnsi="Arial" w:cs="Arial"/>
          <w:b/>
          <w:iCs/>
          <w:sz w:val="24"/>
          <w:lang w:val="id-ID"/>
        </w:rPr>
        <w:t>HASIL</w:t>
      </w:r>
    </w:p>
    <w:p w:rsidR="00362232" w:rsidRPr="00362232" w:rsidRDefault="00362232" w:rsidP="00362232">
      <w:pPr>
        <w:pStyle w:val="IEEEParagraph"/>
        <w:rPr>
          <w:rFonts w:ascii="Arial" w:hAnsi="Arial" w:cs="Arial"/>
          <w:b/>
          <w:lang w:val="en-US"/>
        </w:rPr>
      </w:pPr>
      <w:r>
        <w:rPr>
          <w:rFonts w:ascii="Arial" w:hAnsi="Arial" w:cs="Arial"/>
          <w:b/>
          <w:lang w:val="en-US"/>
        </w:rPr>
        <w:t xml:space="preserve">  </w:t>
      </w:r>
      <w:r w:rsidRPr="00362232">
        <w:rPr>
          <w:rFonts w:ascii="Arial" w:hAnsi="Arial" w:cs="Arial"/>
          <w:b/>
          <w:lang w:val="en-US"/>
        </w:rPr>
        <w:t>Gambaran tekanan darah remaja</w:t>
      </w:r>
    </w:p>
    <w:p w:rsidR="00EF57E7" w:rsidRDefault="007A3BFC" w:rsidP="00EF57E7">
      <w:pPr>
        <w:pStyle w:val="IEEEParagraph"/>
        <w:ind w:left="357" w:firstLine="0"/>
        <w:rPr>
          <w:rFonts w:ascii="Arial" w:hAnsi="Arial" w:cs="Arial"/>
          <w:lang w:val="en-US"/>
        </w:rPr>
      </w:pPr>
      <w:r>
        <w:rPr>
          <w:rFonts w:ascii="Arial" w:hAnsi="Arial" w:cs="Arial"/>
          <w:lang w:val="en-US"/>
        </w:rPr>
        <w:t xml:space="preserve">       </w:t>
      </w:r>
      <w:r w:rsidR="003B58CA" w:rsidRPr="003B58CA">
        <w:rPr>
          <w:rFonts w:ascii="Arial" w:hAnsi="Arial" w:cs="Arial"/>
          <w:lang w:val="id-ID"/>
        </w:rPr>
        <w:t xml:space="preserve">Kegiatan pengabdian </w:t>
      </w:r>
      <w:r w:rsidR="003B58CA" w:rsidRPr="003B58CA">
        <w:rPr>
          <w:rFonts w:ascii="Arial" w:hAnsi="Arial" w:cs="Arial"/>
          <w:lang w:val="en-US"/>
        </w:rPr>
        <w:t xml:space="preserve">kepada </w:t>
      </w:r>
      <w:r w:rsidR="003B58CA" w:rsidRPr="003B58CA">
        <w:rPr>
          <w:rFonts w:ascii="Arial" w:hAnsi="Arial" w:cs="Arial"/>
          <w:lang w:val="id-ID"/>
        </w:rPr>
        <w:t xml:space="preserve">masyarakat diikuti oleh 52 siswa dan </w:t>
      </w:r>
      <w:r w:rsidR="003B58CA" w:rsidRPr="003B58CA">
        <w:rPr>
          <w:rFonts w:ascii="Arial" w:hAnsi="Arial" w:cs="Arial"/>
          <w:lang w:val="en-US"/>
        </w:rPr>
        <w:t xml:space="preserve">35 orang guru/karyawan/ wali murid. Pembahasan ini difokuskan untuk mengetahui </w:t>
      </w:r>
      <w:r w:rsidR="003B58CA">
        <w:rPr>
          <w:rFonts w:ascii="Arial" w:hAnsi="Arial" w:cs="Arial"/>
          <w:lang w:val="en-US"/>
        </w:rPr>
        <w:t>fak</w:t>
      </w:r>
      <w:r w:rsidR="003B58CA" w:rsidRPr="003B58CA">
        <w:rPr>
          <w:rFonts w:ascii="Arial" w:hAnsi="Arial" w:cs="Arial"/>
          <w:lang w:val="en-US"/>
        </w:rPr>
        <w:t xml:space="preserve">tor resiko terjadinya penyakit menular pada siswa. </w:t>
      </w:r>
      <w:r w:rsidR="00EF57E7">
        <w:rPr>
          <w:rFonts w:ascii="Arial" w:hAnsi="Arial" w:cs="Arial"/>
          <w:lang w:val="en-US"/>
        </w:rPr>
        <w:t xml:space="preserve">Penentukan klasifikasi hipertensi pada anak dan remaja dapat menggunakan pedoman </w:t>
      </w:r>
      <w:r w:rsidR="00EF57E7" w:rsidRPr="00EF57E7">
        <w:rPr>
          <w:rFonts w:ascii="Arial" w:hAnsi="Arial" w:cs="Arial"/>
          <w:i/>
          <w:lang w:val="en-US"/>
        </w:rPr>
        <w:t>American Academy of Pediatrics</w:t>
      </w:r>
      <w:r w:rsidR="00EF57E7">
        <w:rPr>
          <w:rFonts w:ascii="Arial" w:hAnsi="Arial" w:cs="Arial"/>
          <w:i/>
          <w:lang w:val="en-US"/>
        </w:rPr>
        <w:t xml:space="preserve"> </w:t>
      </w:r>
      <w:r w:rsidR="00EF57E7" w:rsidRPr="00EF57E7">
        <w:rPr>
          <w:rFonts w:ascii="Arial" w:hAnsi="Arial" w:cs="Arial"/>
          <w:lang w:val="en-US"/>
        </w:rPr>
        <w:t>tahun 2017</w:t>
      </w:r>
      <w:r w:rsidR="00EF57E7">
        <w:rPr>
          <w:rFonts w:ascii="Arial" w:hAnsi="Arial" w:cs="Arial"/>
          <w:lang w:val="en-US"/>
        </w:rPr>
        <w:t xml:space="preserve"> tabel 1</w:t>
      </w:r>
      <w:r w:rsidR="00EF57E7">
        <w:rPr>
          <w:rFonts w:ascii="Arial" w:hAnsi="Arial" w:cs="Arial"/>
          <w:lang w:val="en-US"/>
        </w:rPr>
        <w:fldChar w:fldCharType="begin" w:fldLock="1"/>
      </w:r>
      <w:r w:rsidR="00184341">
        <w:rPr>
          <w:rFonts w:ascii="Arial" w:hAnsi="Arial" w:cs="Arial"/>
          <w:lang w:val="en-US"/>
        </w:rPr>
        <w:instrText xml:space="preserve">ADDIN CSL_CITATION {"citationItems":[{"id":"ITEM-1","itemData":{"DOI":"10.1542/peds.2017-1904","ISSN":"10984275","PMID":"28827377","abstract":"These pediatric hypertension guidelines are an update to the 2004 \"Fourth Report on the Diagnosis, Evaluation, and Treatment of High Blood Pressure in Children and Adolescents.\" Significant changes in these guidelines include (1) the replacement of the term \"prehypertension\" with the term \"elevated blood pressure, \" (2) new normative pediatric blood pressure </w:instrText>
      </w:r>
      <w:r w:rsidR="00184341">
        <w:rPr>
          <w:rFonts w:ascii="Arial" w:hAnsi="Arial" w:cs="Arial" w:hint="eastAsia"/>
          <w:lang w:val="en-US"/>
        </w:rPr>
        <w:instrText xml:space="preserve">(BP) tables based on normal-weight children, (3) a simplified screening table for identifying BPs needing further evaluation, (4) a simplified BP classification in adolescents </w:instrText>
      </w:r>
      <w:r w:rsidR="00184341">
        <w:rPr>
          <w:rFonts w:ascii="Arial" w:hAnsi="Arial" w:cs="Arial" w:hint="eastAsia"/>
          <w:lang w:val="en-US"/>
        </w:rPr>
        <w:instrText>≥</w:instrText>
      </w:r>
      <w:r w:rsidR="00184341">
        <w:rPr>
          <w:rFonts w:ascii="Arial" w:hAnsi="Arial" w:cs="Arial" w:hint="eastAsia"/>
          <w:lang w:val="en-US"/>
        </w:rPr>
        <w:instrText>13 years of age that aligns with the forthcoming American Heart Association an</w:instrText>
      </w:r>
      <w:r w:rsidR="00184341">
        <w:rPr>
          <w:rFonts w:ascii="Arial" w:hAnsi="Arial" w:cs="Arial"/>
          <w:lang w:val="en-US"/>
        </w:rPr>
        <w:instrText>d American College of Cardiology adult BP guidelines, (5) a more limited recommendation to perform screening BP measurements only at preventive care visits, (6) streamlined recommendations on the initial evaluation and management of abnormal BPs, (7) an expanded role for ambulatory BP monitoring in the diagnosis and management of pediatric hypertension, and (8) revised recommendations on when to perform echocardiography in the evaluation of newly diagnosed hypertensive pediatric patients (generally only before medication initiation), along with a revised definition of left ventricular hypertrophy. These guidelines include 30 Key Action Statements and 27 additional recommendations derived from a comprehensive review of almost 15 000 published articles between January 2004 and July 2016. Each Key Action Statement includes level of evidence, benefit-harm relationship, and strength of recommendation. This clinical practice guideline, endorsed by the American Heart Association, is intended to foster a patient- and family-centered approach to care, reduce unnecessary and costly medical interventions, improve patient diagnoses and outcomes, support implementation, and provide direction for future research.","author":[{"dropping-particle":"","family":"Flynn","given":"Joseph T.","non-dropping-particle":"","parse-names":false,"suffix":""},{"dropping-particle":"","family":"Kaelber","given":"David C.","non-dropping-particle":"","parse-names":false,"suffix":""},{"dropping-particle":"","family":"Baker-Smith","given":"Carissa M.","non-dropping-particle":"","parse-names":false,"suffix":""},{"dropping-particle":"","family":"Blowey","given":"Douglas","non-dropping-particle":"","parse-names":false,"suffix":""},{"dropping-particle":"","family":"Carroll","given":"Aaron E.","non-dropping-particle":"","parse-names":false,"suffix":""},{"dropping-particle":"","family":"Daniels","given":"Stephen R.","non-dropping-particle":"","parse-names":false,"suffix":""},{"dropping-particle":"","family":"Ferranti","given":"Sarah D.","non-dropping-particle":"De","parse-names":false,"suffix":""},{"dropping-particle":"","family":"Dionne","given":"Janis M.","non-dropping-particle":"","parse-names":false,"suffix":""},{"dropping-particle":"","family":"Falkner","given":"Bonita","non-dropping-particle":"","parse-names":false,"suffix":""},{"dropping-particle":"","family":"Flinn","given":"Susan K.","non-dropping-particle":"","parse-names":false,"suffix":""},{"dropping-particle":"","family":"Gidding","given":"Samuel S.","non-dropping-particle":"","parse-names":false,"suffix":""},{"dropping-particle":"","family":"Goodwin","given":"Celeste","non-dropping-particle":"","parse-names":false,"suffix":""},{"dropping-particle":"","family":"Leu","given":"Michael G.","non-dropping-particle":"","parse-names":false,"suffix":""},{"dropping-particle":"","family":"Powers","given":"Makia E.","non-dropping-particle":"","parse-names":false,"suffix":""},{"dropping-particle":"","family":"Rea","given":"Corinna","non-dropping-particle":"","parse-names":false,"suffix":""},{"dropping-particle":"","family":"Samuels","given":"Joshua","non-dropping-particle":"","parse-names":false,"suffix":""},{"dropping-particle":"","family":"Simase","given":"Madeline","non-dropping-particle":"","parse-names":false,"suffix":""},{"dropping-particle":"V.","family":"Thaker","given":"Vidhu","non-dropping-particle":"","parse-names":false,"suffix":""},{"dropping-particle":"","family":"Urbina","given":"Elaine M.","non-dropping-particle":"","parse-names":false,"suffix":""},{"dropping-particle":"","family":"Simasek","given":"Madeline","non-dropping-particle":"","parse-names":false,"suffix":""},{"dropping-particle":"","family":"Okechukwu","given":"Kymika","non-dropping-particle":"","parse-names":false,"suffix":""}],"container-title":"Pediatrics","id":"ITEM-1","issue":"3","issued":{"date-parts":[["2017"]]},"title":"Clinical practice guideline for screening and management of high blood pressure in children and adolescents","type":"article-journal","volume":"140"},"uris":["http://www.mendeley.com/documents/?uuid=2556a92d-f993-4ee4-8ece-8ebbf3970f1a"]}],"mendeley":{"formattedCitation":"(8)","plainTextFormattedCitation":"(8)","previouslyFormattedCitation":"(8)"},"properties":{"noteIndex":0},"schema":"https://github.com/citation-style-language/schema/raw/master/csl-citation.json"}</w:instrText>
      </w:r>
      <w:r w:rsidR="00EF57E7">
        <w:rPr>
          <w:rFonts w:ascii="Arial" w:hAnsi="Arial" w:cs="Arial"/>
          <w:lang w:val="en-US"/>
        </w:rPr>
        <w:fldChar w:fldCharType="separate"/>
      </w:r>
      <w:r w:rsidR="00EF57E7" w:rsidRPr="00EF57E7">
        <w:rPr>
          <w:rFonts w:ascii="Arial" w:hAnsi="Arial" w:cs="Arial"/>
          <w:noProof/>
          <w:lang w:val="en-US"/>
        </w:rPr>
        <w:t>(8)</w:t>
      </w:r>
      <w:r w:rsidR="00EF57E7">
        <w:rPr>
          <w:rFonts w:ascii="Arial" w:hAnsi="Arial" w:cs="Arial"/>
          <w:lang w:val="en-US"/>
        </w:rPr>
        <w:fldChar w:fldCharType="end"/>
      </w:r>
      <w:r w:rsidR="00EF57E7">
        <w:rPr>
          <w:rFonts w:ascii="Arial" w:hAnsi="Arial" w:cs="Arial"/>
          <w:lang w:val="en-US"/>
        </w:rPr>
        <w:t>.</w:t>
      </w:r>
    </w:p>
    <w:p w:rsidR="00EF57E7" w:rsidRDefault="00EF57E7" w:rsidP="00EF57E7">
      <w:pPr>
        <w:pStyle w:val="IEEEParagraph"/>
        <w:ind w:left="357" w:firstLine="0"/>
        <w:jc w:val="center"/>
        <w:rPr>
          <w:rFonts w:ascii="Arial" w:hAnsi="Arial" w:cs="Arial"/>
          <w:lang w:val="en-US"/>
        </w:rPr>
      </w:pPr>
      <w:r w:rsidRPr="00402758">
        <w:rPr>
          <w:rFonts w:ascii="Arial" w:hAnsi="Arial" w:cs="Arial"/>
          <w:b/>
          <w:lang w:val="en-US"/>
        </w:rPr>
        <w:t>Tabel 1.</w:t>
      </w:r>
      <w:r>
        <w:rPr>
          <w:rFonts w:ascii="Arial" w:hAnsi="Arial" w:cs="Arial"/>
          <w:lang w:val="en-US"/>
        </w:rPr>
        <w:t xml:space="preserve"> Klasifikasi Hipertensi pada anak</w:t>
      </w:r>
      <w:r w:rsidR="00402758">
        <w:rPr>
          <w:rFonts w:ascii="Arial" w:hAnsi="Arial" w:cs="Arial"/>
          <w:lang w:val="en-US"/>
        </w:rPr>
        <w:t xml:space="preserve"> </w:t>
      </w:r>
      <w:r>
        <w:rPr>
          <w:rFonts w:ascii="Arial" w:hAnsi="Arial" w:cs="Arial"/>
          <w:lang w:val="en-US"/>
        </w:rPr>
        <w:t>&gt;13 Tahun AAP,2017</w:t>
      </w:r>
    </w:p>
    <w:tbl>
      <w:tblPr>
        <w:tblStyle w:val="TableGrid"/>
        <w:tblW w:w="0" w:type="auto"/>
        <w:tblInd w:w="12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2826"/>
        <w:gridCol w:w="3260"/>
      </w:tblGrid>
      <w:tr w:rsidR="00EF57E7" w:rsidRPr="00EF57E7" w:rsidTr="00402758">
        <w:tc>
          <w:tcPr>
            <w:tcW w:w="576" w:type="dxa"/>
            <w:tcBorders>
              <w:top w:val="single" w:sz="4" w:space="0" w:color="auto"/>
              <w:bottom w:val="single" w:sz="4" w:space="0" w:color="auto"/>
            </w:tcBorders>
          </w:tcPr>
          <w:p w:rsidR="00EF57E7" w:rsidRPr="00EF57E7" w:rsidRDefault="00EF57E7" w:rsidP="003B58CA">
            <w:pPr>
              <w:pStyle w:val="IEEEParagraph"/>
              <w:ind w:firstLine="0"/>
              <w:rPr>
                <w:rFonts w:ascii="Arial" w:hAnsi="Arial" w:cs="Arial"/>
                <w:sz w:val="20"/>
                <w:szCs w:val="20"/>
                <w:lang w:val="en-US"/>
              </w:rPr>
            </w:pPr>
            <w:r w:rsidRPr="00EF57E7">
              <w:rPr>
                <w:rFonts w:ascii="Arial" w:hAnsi="Arial" w:cs="Arial"/>
                <w:sz w:val="20"/>
                <w:szCs w:val="20"/>
                <w:lang w:val="en-US"/>
              </w:rPr>
              <w:t>NO</w:t>
            </w:r>
          </w:p>
        </w:tc>
        <w:tc>
          <w:tcPr>
            <w:tcW w:w="2826" w:type="dxa"/>
            <w:tcBorders>
              <w:top w:val="single" w:sz="4" w:space="0" w:color="auto"/>
              <w:bottom w:val="single" w:sz="4" w:space="0" w:color="auto"/>
            </w:tcBorders>
          </w:tcPr>
          <w:p w:rsidR="00EF57E7" w:rsidRPr="00EF57E7" w:rsidRDefault="00EF57E7" w:rsidP="003B58CA">
            <w:pPr>
              <w:pStyle w:val="IEEEParagraph"/>
              <w:ind w:firstLine="0"/>
              <w:rPr>
                <w:rFonts w:ascii="Arial" w:hAnsi="Arial" w:cs="Arial"/>
                <w:sz w:val="20"/>
                <w:szCs w:val="20"/>
                <w:lang w:val="en-US"/>
              </w:rPr>
            </w:pPr>
            <w:r w:rsidRPr="00EF57E7">
              <w:rPr>
                <w:rFonts w:ascii="Arial" w:hAnsi="Arial" w:cs="Arial"/>
                <w:sz w:val="20"/>
                <w:szCs w:val="20"/>
                <w:lang w:val="en-US"/>
              </w:rPr>
              <w:t>Kriteria</w:t>
            </w:r>
          </w:p>
        </w:tc>
        <w:tc>
          <w:tcPr>
            <w:tcW w:w="3260" w:type="dxa"/>
            <w:tcBorders>
              <w:top w:val="single" w:sz="4" w:space="0" w:color="auto"/>
              <w:bottom w:val="single" w:sz="4" w:space="0" w:color="auto"/>
            </w:tcBorders>
          </w:tcPr>
          <w:p w:rsidR="00EF57E7" w:rsidRPr="00EF57E7" w:rsidRDefault="00EF57E7" w:rsidP="003B58CA">
            <w:pPr>
              <w:pStyle w:val="IEEEParagraph"/>
              <w:ind w:firstLine="0"/>
              <w:rPr>
                <w:rFonts w:ascii="Arial" w:hAnsi="Arial" w:cs="Arial"/>
                <w:sz w:val="20"/>
                <w:szCs w:val="20"/>
                <w:lang w:val="en-US"/>
              </w:rPr>
            </w:pPr>
            <w:r w:rsidRPr="00EF57E7">
              <w:rPr>
                <w:rFonts w:ascii="Arial" w:hAnsi="Arial" w:cs="Arial"/>
                <w:sz w:val="20"/>
                <w:szCs w:val="20"/>
                <w:lang w:val="en-US"/>
              </w:rPr>
              <w:t>Nilai rujukan</w:t>
            </w:r>
          </w:p>
        </w:tc>
      </w:tr>
      <w:tr w:rsidR="00EF57E7" w:rsidRPr="00EF57E7" w:rsidTr="00402758">
        <w:tc>
          <w:tcPr>
            <w:tcW w:w="576" w:type="dxa"/>
            <w:tcBorders>
              <w:top w:val="single" w:sz="4" w:space="0" w:color="auto"/>
            </w:tcBorders>
          </w:tcPr>
          <w:p w:rsidR="00EF57E7" w:rsidRPr="00EF57E7" w:rsidRDefault="00EF57E7" w:rsidP="003B58CA">
            <w:pPr>
              <w:pStyle w:val="IEEEParagraph"/>
              <w:ind w:firstLine="0"/>
              <w:rPr>
                <w:rFonts w:ascii="Arial" w:hAnsi="Arial" w:cs="Arial"/>
                <w:sz w:val="20"/>
                <w:szCs w:val="20"/>
                <w:lang w:val="en-US"/>
              </w:rPr>
            </w:pPr>
            <w:r w:rsidRPr="00EF57E7">
              <w:rPr>
                <w:rFonts w:ascii="Arial" w:hAnsi="Arial" w:cs="Arial"/>
                <w:sz w:val="20"/>
                <w:szCs w:val="20"/>
                <w:lang w:val="en-US"/>
              </w:rPr>
              <w:t>1</w:t>
            </w:r>
          </w:p>
        </w:tc>
        <w:tc>
          <w:tcPr>
            <w:tcW w:w="2826" w:type="dxa"/>
            <w:tcBorders>
              <w:top w:val="single" w:sz="4" w:space="0" w:color="auto"/>
            </w:tcBorders>
          </w:tcPr>
          <w:p w:rsidR="00EF57E7" w:rsidRPr="00EF57E7" w:rsidRDefault="00EF57E7" w:rsidP="003B58CA">
            <w:pPr>
              <w:pStyle w:val="IEEEParagraph"/>
              <w:ind w:firstLine="0"/>
              <w:rPr>
                <w:rFonts w:ascii="Arial" w:hAnsi="Arial" w:cs="Arial"/>
                <w:sz w:val="20"/>
                <w:szCs w:val="20"/>
                <w:lang w:val="en-US"/>
              </w:rPr>
            </w:pPr>
            <w:r w:rsidRPr="00EF57E7">
              <w:rPr>
                <w:rFonts w:ascii="Arial" w:hAnsi="Arial" w:cs="Arial"/>
                <w:sz w:val="20"/>
                <w:szCs w:val="20"/>
                <w:lang w:val="en-US"/>
              </w:rPr>
              <w:t>Normal</w:t>
            </w:r>
          </w:p>
        </w:tc>
        <w:tc>
          <w:tcPr>
            <w:tcW w:w="3260" w:type="dxa"/>
            <w:tcBorders>
              <w:top w:val="single" w:sz="4" w:space="0" w:color="auto"/>
            </w:tcBorders>
          </w:tcPr>
          <w:p w:rsidR="00EF57E7" w:rsidRPr="00EF57E7" w:rsidRDefault="00EF57E7" w:rsidP="003B58CA">
            <w:pPr>
              <w:pStyle w:val="IEEEParagraph"/>
              <w:ind w:firstLine="0"/>
              <w:rPr>
                <w:rFonts w:ascii="Arial" w:hAnsi="Arial" w:cs="Arial"/>
                <w:sz w:val="20"/>
                <w:szCs w:val="20"/>
                <w:lang w:val="en-US"/>
              </w:rPr>
            </w:pPr>
            <w:r w:rsidRPr="00EF57E7">
              <w:rPr>
                <w:rFonts w:ascii="Arial" w:hAnsi="Arial" w:cs="Arial"/>
                <w:sz w:val="20"/>
                <w:szCs w:val="20"/>
                <w:lang w:val="en-US"/>
              </w:rPr>
              <w:t>&lt;120/&lt;80 mm Hg</w:t>
            </w:r>
          </w:p>
        </w:tc>
      </w:tr>
      <w:tr w:rsidR="00EF57E7" w:rsidRPr="00EF57E7" w:rsidTr="00402758">
        <w:tc>
          <w:tcPr>
            <w:tcW w:w="576" w:type="dxa"/>
          </w:tcPr>
          <w:p w:rsidR="00EF57E7" w:rsidRPr="00EF57E7" w:rsidRDefault="00EF57E7" w:rsidP="003B58CA">
            <w:pPr>
              <w:pStyle w:val="IEEEParagraph"/>
              <w:ind w:firstLine="0"/>
              <w:rPr>
                <w:rFonts w:ascii="Arial" w:hAnsi="Arial" w:cs="Arial"/>
                <w:sz w:val="20"/>
                <w:szCs w:val="20"/>
                <w:lang w:val="en-US"/>
              </w:rPr>
            </w:pPr>
            <w:r w:rsidRPr="00EF57E7">
              <w:rPr>
                <w:rFonts w:ascii="Arial" w:hAnsi="Arial" w:cs="Arial"/>
                <w:sz w:val="20"/>
                <w:szCs w:val="20"/>
                <w:lang w:val="en-US"/>
              </w:rPr>
              <w:t>2</w:t>
            </w:r>
          </w:p>
        </w:tc>
        <w:tc>
          <w:tcPr>
            <w:tcW w:w="2826" w:type="dxa"/>
          </w:tcPr>
          <w:p w:rsidR="00EF57E7" w:rsidRPr="00EF57E7" w:rsidRDefault="00EF57E7" w:rsidP="003B58CA">
            <w:pPr>
              <w:pStyle w:val="IEEEParagraph"/>
              <w:ind w:firstLine="0"/>
              <w:rPr>
                <w:rFonts w:ascii="Arial" w:hAnsi="Arial" w:cs="Arial"/>
                <w:sz w:val="20"/>
                <w:szCs w:val="20"/>
                <w:lang w:val="en-US"/>
              </w:rPr>
            </w:pPr>
            <w:r w:rsidRPr="00EF57E7">
              <w:rPr>
                <w:rFonts w:ascii="Arial" w:hAnsi="Arial" w:cs="Arial"/>
                <w:sz w:val="20"/>
                <w:szCs w:val="20"/>
                <w:lang w:val="en-US"/>
              </w:rPr>
              <w:t>Meningkat/ elevated</w:t>
            </w:r>
          </w:p>
        </w:tc>
        <w:tc>
          <w:tcPr>
            <w:tcW w:w="3260" w:type="dxa"/>
          </w:tcPr>
          <w:p w:rsidR="00EF57E7" w:rsidRPr="00EF57E7" w:rsidRDefault="00EF57E7" w:rsidP="003B58CA">
            <w:pPr>
              <w:pStyle w:val="IEEEParagraph"/>
              <w:ind w:firstLine="0"/>
              <w:rPr>
                <w:rFonts w:ascii="Arial" w:hAnsi="Arial" w:cs="Arial"/>
                <w:sz w:val="20"/>
                <w:szCs w:val="20"/>
                <w:lang w:val="en-US"/>
              </w:rPr>
            </w:pPr>
            <w:r w:rsidRPr="00EF57E7">
              <w:rPr>
                <w:rFonts w:ascii="Arial" w:hAnsi="Arial" w:cs="Arial"/>
                <w:sz w:val="20"/>
                <w:szCs w:val="20"/>
                <w:lang w:val="en-US"/>
              </w:rPr>
              <w:t>120/&lt;80 to 129/&lt;80 mm Hg</w:t>
            </w:r>
          </w:p>
        </w:tc>
      </w:tr>
      <w:tr w:rsidR="00EF57E7" w:rsidRPr="00EF57E7" w:rsidTr="00402758">
        <w:tc>
          <w:tcPr>
            <w:tcW w:w="576" w:type="dxa"/>
          </w:tcPr>
          <w:p w:rsidR="00EF57E7" w:rsidRPr="00EF57E7" w:rsidRDefault="00EF57E7" w:rsidP="003B58CA">
            <w:pPr>
              <w:pStyle w:val="IEEEParagraph"/>
              <w:ind w:firstLine="0"/>
              <w:rPr>
                <w:rFonts w:ascii="Arial" w:hAnsi="Arial" w:cs="Arial"/>
                <w:sz w:val="20"/>
                <w:szCs w:val="20"/>
                <w:lang w:val="en-US"/>
              </w:rPr>
            </w:pPr>
            <w:r w:rsidRPr="00EF57E7">
              <w:rPr>
                <w:rFonts w:ascii="Arial" w:hAnsi="Arial" w:cs="Arial"/>
                <w:sz w:val="20"/>
                <w:szCs w:val="20"/>
                <w:lang w:val="en-US"/>
              </w:rPr>
              <w:t>3</w:t>
            </w:r>
          </w:p>
        </w:tc>
        <w:tc>
          <w:tcPr>
            <w:tcW w:w="2826" w:type="dxa"/>
          </w:tcPr>
          <w:p w:rsidR="00EF57E7" w:rsidRPr="00EF57E7" w:rsidRDefault="00EF57E7" w:rsidP="003B58CA">
            <w:pPr>
              <w:pStyle w:val="IEEEParagraph"/>
              <w:ind w:firstLine="0"/>
              <w:rPr>
                <w:rFonts w:ascii="Arial" w:hAnsi="Arial" w:cs="Arial"/>
                <w:sz w:val="20"/>
                <w:szCs w:val="20"/>
                <w:lang w:val="en-US"/>
              </w:rPr>
            </w:pPr>
            <w:r w:rsidRPr="00EF57E7">
              <w:rPr>
                <w:rFonts w:ascii="Arial" w:hAnsi="Arial" w:cs="Arial"/>
                <w:sz w:val="20"/>
                <w:szCs w:val="20"/>
                <w:lang w:val="en-US"/>
              </w:rPr>
              <w:t xml:space="preserve">Hipertensi tahap 1  </w:t>
            </w:r>
          </w:p>
        </w:tc>
        <w:tc>
          <w:tcPr>
            <w:tcW w:w="3260" w:type="dxa"/>
          </w:tcPr>
          <w:p w:rsidR="00EF57E7" w:rsidRPr="00EF57E7" w:rsidRDefault="00EF57E7" w:rsidP="003B58CA">
            <w:pPr>
              <w:pStyle w:val="IEEEParagraph"/>
              <w:ind w:firstLine="0"/>
              <w:rPr>
                <w:rFonts w:ascii="Arial" w:hAnsi="Arial" w:cs="Arial"/>
                <w:sz w:val="20"/>
                <w:szCs w:val="20"/>
                <w:lang w:val="en-US"/>
              </w:rPr>
            </w:pPr>
            <w:r w:rsidRPr="00EF57E7">
              <w:rPr>
                <w:rFonts w:ascii="Arial" w:hAnsi="Arial" w:cs="Arial"/>
                <w:sz w:val="20"/>
                <w:szCs w:val="20"/>
                <w:lang w:val="en-US"/>
              </w:rPr>
              <w:t>130/80 to 139/89 mm Hg</w:t>
            </w:r>
          </w:p>
        </w:tc>
      </w:tr>
      <w:tr w:rsidR="00EF57E7" w:rsidRPr="00EF57E7" w:rsidTr="00402758">
        <w:trPr>
          <w:trHeight w:val="287"/>
        </w:trPr>
        <w:tc>
          <w:tcPr>
            <w:tcW w:w="576" w:type="dxa"/>
          </w:tcPr>
          <w:p w:rsidR="00EF57E7" w:rsidRPr="00EF57E7" w:rsidRDefault="00EF57E7" w:rsidP="003B58CA">
            <w:pPr>
              <w:pStyle w:val="IEEEParagraph"/>
              <w:ind w:firstLine="0"/>
              <w:rPr>
                <w:rFonts w:ascii="Arial" w:hAnsi="Arial" w:cs="Arial"/>
                <w:sz w:val="20"/>
                <w:szCs w:val="20"/>
                <w:lang w:val="en-US"/>
              </w:rPr>
            </w:pPr>
            <w:r w:rsidRPr="00EF57E7">
              <w:rPr>
                <w:rFonts w:ascii="Arial" w:hAnsi="Arial" w:cs="Arial"/>
                <w:sz w:val="20"/>
                <w:szCs w:val="20"/>
                <w:lang w:val="en-US"/>
              </w:rPr>
              <w:t>4</w:t>
            </w:r>
          </w:p>
        </w:tc>
        <w:tc>
          <w:tcPr>
            <w:tcW w:w="2826" w:type="dxa"/>
          </w:tcPr>
          <w:p w:rsidR="00EF57E7" w:rsidRPr="00EF57E7" w:rsidRDefault="00EF57E7" w:rsidP="00EF57E7">
            <w:pPr>
              <w:rPr>
                <w:rFonts w:ascii="Arial" w:hAnsi="Arial" w:cs="Arial"/>
                <w:sz w:val="20"/>
                <w:szCs w:val="20"/>
                <w:lang w:val="en-US"/>
              </w:rPr>
            </w:pPr>
            <w:r w:rsidRPr="00EF57E7">
              <w:rPr>
                <w:rFonts w:ascii="Arial" w:hAnsi="Arial" w:cs="Arial" w:hint="eastAsia"/>
                <w:sz w:val="20"/>
                <w:szCs w:val="20"/>
                <w:lang w:val="en-US"/>
              </w:rPr>
              <w:t xml:space="preserve">Hipertensi </w:t>
            </w:r>
            <w:r w:rsidRPr="00EF57E7">
              <w:rPr>
                <w:rFonts w:ascii="Arial" w:hAnsi="Arial" w:cs="Arial"/>
                <w:sz w:val="20"/>
                <w:szCs w:val="20"/>
                <w:lang w:val="en-US"/>
              </w:rPr>
              <w:t>tahap 2</w:t>
            </w:r>
          </w:p>
        </w:tc>
        <w:tc>
          <w:tcPr>
            <w:tcW w:w="3260" w:type="dxa"/>
          </w:tcPr>
          <w:p w:rsidR="00EF57E7" w:rsidRPr="00EF57E7" w:rsidRDefault="00EF57E7" w:rsidP="00EF57E7">
            <w:pPr>
              <w:rPr>
                <w:rFonts w:ascii="Arial" w:hAnsi="Arial" w:cs="Arial"/>
                <w:sz w:val="20"/>
                <w:szCs w:val="20"/>
                <w:lang w:val="en-US"/>
              </w:rPr>
            </w:pPr>
            <w:r w:rsidRPr="00EF57E7">
              <w:rPr>
                <w:rFonts w:ascii="Arial" w:hAnsi="Arial" w:cs="Arial" w:hint="eastAsia"/>
                <w:sz w:val="20"/>
                <w:szCs w:val="20"/>
                <w:lang w:val="en-US"/>
              </w:rPr>
              <w:t>≥</w:t>
            </w:r>
            <w:r w:rsidRPr="00EF57E7">
              <w:rPr>
                <w:rFonts w:ascii="Arial" w:hAnsi="Arial" w:cs="Arial" w:hint="eastAsia"/>
                <w:sz w:val="20"/>
                <w:szCs w:val="20"/>
                <w:lang w:val="en-US"/>
              </w:rPr>
              <w:t>140/90 mm Hg</w:t>
            </w:r>
          </w:p>
        </w:tc>
      </w:tr>
    </w:tbl>
    <w:p w:rsidR="001D180C" w:rsidRDefault="001D180C" w:rsidP="003B58CA">
      <w:pPr>
        <w:pStyle w:val="IEEEParagraph"/>
        <w:ind w:left="357" w:firstLine="0"/>
        <w:rPr>
          <w:rFonts w:ascii="Arial" w:hAnsi="Arial" w:cs="Arial"/>
          <w:lang w:val="en-US"/>
        </w:rPr>
      </w:pPr>
    </w:p>
    <w:p w:rsidR="001D180C" w:rsidRDefault="001D180C" w:rsidP="003B58CA">
      <w:pPr>
        <w:pStyle w:val="IEEEParagraph"/>
        <w:ind w:left="357" w:firstLine="0"/>
        <w:rPr>
          <w:rFonts w:ascii="Arial" w:hAnsi="Arial" w:cs="Arial"/>
          <w:lang w:val="en-US"/>
        </w:rPr>
      </w:pPr>
      <w:r>
        <w:rPr>
          <w:rFonts w:ascii="Arial" w:hAnsi="Arial" w:cs="Arial"/>
          <w:lang w:val="en-US"/>
        </w:rPr>
        <w:t xml:space="preserve">       </w:t>
      </w:r>
      <w:r w:rsidRPr="001D180C">
        <w:rPr>
          <w:rFonts w:ascii="Arial" w:hAnsi="Arial" w:cs="Arial"/>
          <w:lang w:val="en-US"/>
        </w:rPr>
        <w:t xml:space="preserve">Berdasarkan klasifikasi </w:t>
      </w:r>
      <w:r w:rsidRPr="001D180C">
        <w:rPr>
          <w:rFonts w:ascii="Arial" w:hAnsi="Arial" w:cs="Arial"/>
          <w:i/>
          <w:lang w:val="en-US"/>
        </w:rPr>
        <w:t>American Academy of Pediatrics</w:t>
      </w:r>
      <w:r w:rsidRPr="001D180C">
        <w:rPr>
          <w:rFonts w:ascii="Arial" w:hAnsi="Arial" w:cs="Arial"/>
          <w:lang w:val="en-US"/>
        </w:rPr>
        <w:t xml:space="preserve"> (AAP, 2017), hasil pemeriksaan menunjukkan bahwa sebagian besar responden (59,6%) telah masuk kategori hipertensi, baik tahap 1 maupun tahap 2. Temuan ini mengindikasikan bahwa lebih dari separuh remaja dalam sampel sudah mengalami peningkatan tekanan darah yang bermakna secara klinis. Bahkan, sebanyak 26,9% berada pada kategori hipertensi tahap 2, yang memerlukan evaluasi dan tindak lanjut lebih lanjut karena berisiko menimbulkan komplikasi kardiovaskular di kemudian hari. </w:t>
      </w:r>
    </w:p>
    <w:p w:rsidR="00402758" w:rsidRDefault="001D180C" w:rsidP="003B58CA">
      <w:pPr>
        <w:pStyle w:val="IEEEParagraph"/>
        <w:ind w:left="357" w:firstLine="0"/>
        <w:rPr>
          <w:rFonts w:ascii="Arial" w:hAnsi="Arial" w:cs="Arial"/>
          <w:lang w:val="en-US"/>
        </w:rPr>
      </w:pPr>
      <w:r>
        <w:rPr>
          <w:rFonts w:ascii="Arial" w:hAnsi="Arial" w:cs="Arial"/>
          <w:lang w:val="en-US"/>
        </w:rPr>
        <w:t xml:space="preserve">       Siswa dengan kategori meningkat sebanyak 11,5%. M</w:t>
      </w:r>
      <w:r w:rsidRPr="001D180C">
        <w:rPr>
          <w:rFonts w:ascii="Arial" w:hAnsi="Arial" w:cs="Arial"/>
          <w:lang w:val="en-US"/>
        </w:rPr>
        <w:t>eskipun belum tergolong hipertensi, memiliki potensi berkembang menjadi hipertensi apabila tidak dilakukan intervensi gaya hidup seperti perbaikan pola makan, peningkatan aktivitas fisik, dan pengendalian berat badan. Sementara itu, hanya 28,8% responden yang memiliki tekanan darah dalam kategori normal, menunjukkan bahwa proporsi remaja dengan kondisi tekanan darah optimal masih relatif rendah dalam populasi ini.</w:t>
      </w:r>
      <w:r>
        <w:rPr>
          <w:rFonts w:ascii="Arial" w:hAnsi="Arial" w:cs="Arial"/>
          <w:lang w:val="en-US"/>
        </w:rPr>
        <w:t xml:space="preserve"> </w:t>
      </w:r>
      <w:r w:rsidR="00402758">
        <w:rPr>
          <w:rFonts w:ascii="Arial" w:hAnsi="Arial" w:cs="Arial"/>
          <w:lang w:val="en-US"/>
        </w:rPr>
        <w:t>Hasil pemeriksaan tekanan darah siswa dapat dilihat pada tabel 2 dan 3</w:t>
      </w:r>
      <w:r>
        <w:rPr>
          <w:rFonts w:ascii="Arial" w:hAnsi="Arial" w:cs="Arial"/>
          <w:lang w:val="en-US"/>
        </w:rPr>
        <w:t>.</w:t>
      </w:r>
    </w:p>
    <w:p w:rsidR="00402758" w:rsidRDefault="00402758" w:rsidP="003B58CA">
      <w:pPr>
        <w:pStyle w:val="IEEEParagraph"/>
        <w:ind w:left="357" w:firstLine="0"/>
        <w:rPr>
          <w:rFonts w:ascii="Arial" w:hAnsi="Arial" w:cs="Arial"/>
          <w:lang w:val="en-US"/>
        </w:rPr>
      </w:pPr>
    </w:p>
    <w:p w:rsidR="00402758" w:rsidRDefault="00402758" w:rsidP="00402758">
      <w:pPr>
        <w:pStyle w:val="IEEEParagraph"/>
        <w:ind w:left="357" w:firstLine="0"/>
        <w:jc w:val="center"/>
        <w:rPr>
          <w:rFonts w:ascii="Arial" w:hAnsi="Arial" w:cs="Arial"/>
          <w:lang w:val="en-US"/>
        </w:rPr>
      </w:pPr>
      <w:r w:rsidRPr="00402758">
        <w:rPr>
          <w:rFonts w:ascii="Arial" w:hAnsi="Arial" w:cs="Arial"/>
          <w:b/>
          <w:lang w:val="en-US"/>
        </w:rPr>
        <w:t>Tabel 2</w:t>
      </w:r>
      <w:r>
        <w:rPr>
          <w:rFonts w:ascii="Arial" w:hAnsi="Arial" w:cs="Arial"/>
          <w:lang w:val="en-US"/>
        </w:rPr>
        <w:t>. Hasil Pengukuran Tekanan Darah</w:t>
      </w:r>
    </w:p>
    <w:p w:rsidR="00402758" w:rsidRDefault="001D180C" w:rsidP="003B58CA">
      <w:pPr>
        <w:pStyle w:val="IEEEParagraph"/>
        <w:ind w:left="357" w:firstLine="0"/>
        <w:rPr>
          <w:rFonts w:ascii="Arial" w:hAnsi="Arial" w:cs="Arial"/>
          <w:lang w:val="en-US"/>
        </w:rPr>
      </w:pPr>
      <w:r>
        <w:rPr>
          <w:rFonts w:ascii="Arial" w:hAnsi="Arial" w:cs="Arial"/>
          <w:lang w:val="en-US"/>
        </w:rPr>
        <w:t xml:space="preserve">       </w:t>
      </w:r>
      <w:r w:rsidR="00402758" w:rsidRPr="00402758">
        <w:rPr>
          <w:noProof/>
          <w:lang w:val="en-US" w:eastAsia="en-US"/>
        </w:rPr>
        <w:drawing>
          <wp:inline distT="0" distB="0" distL="0" distR="0">
            <wp:extent cx="4679128" cy="404288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97464" cy="4058724"/>
                    </a:xfrm>
                    <a:prstGeom prst="rect">
                      <a:avLst/>
                    </a:prstGeom>
                    <a:noFill/>
                    <a:ln>
                      <a:noFill/>
                    </a:ln>
                  </pic:spPr>
                </pic:pic>
              </a:graphicData>
            </a:graphic>
          </wp:inline>
        </w:drawing>
      </w:r>
    </w:p>
    <w:p w:rsidR="00402758" w:rsidRDefault="00402758" w:rsidP="003B58CA">
      <w:pPr>
        <w:pStyle w:val="IEEEParagraph"/>
        <w:ind w:left="357" w:firstLine="0"/>
        <w:rPr>
          <w:rFonts w:ascii="Arial" w:hAnsi="Arial" w:cs="Arial"/>
          <w:lang w:val="en-US"/>
        </w:rPr>
      </w:pPr>
    </w:p>
    <w:p w:rsidR="00402758" w:rsidRDefault="00402758" w:rsidP="001D180C">
      <w:pPr>
        <w:pStyle w:val="IEEEParagraph"/>
        <w:ind w:left="1440" w:firstLine="720"/>
        <w:rPr>
          <w:rFonts w:ascii="Arial" w:hAnsi="Arial" w:cs="Arial"/>
          <w:lang w:val="en-US"/>
        </w:rPr>
      </w:pPr>
      <w:r w:rsidRPr="001D180C">
        <w:rPr>
          <w:rFonts w:ascii="Arial" w:hAnsi="Arial" w:cs="Arial"/>
          <w:b/>
          <w:lang w:val="en-US"/>
        </w:rPr>
        <w:t>Tabel 3.</w:t>
      </w:r>
      <w:r>
        <w:rPr>
          <w:rFonts w:ascii="Arial" w:hAnsi="Arial" w:cs="Arial"/>
          <w:lang w:val="en-US"/>
        </w:rPr>
        <w:t xml:space="preserve"> Gambaran Hipertensi Remaja</w:t>
      </w:r>
    </w:p>
    <w:tbl>
      <w:tblPr>
        <w:tblStyle w:val="TableGrid"/>
        <w:tblW w:w="0" w:type="auto"/>
        <w:tblInd w:w="161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057"/>
        <w:gridCol w:w="1919"/>
      </w:tblGrid>
      <w:tr w:rsidR="001D180C" w:rsidRPr="001D180C" w:rsidTr="001D180C">
        <w:tc>
          <w:tcPr>
            <w:tcW w:w="2835" w:type="dxa"/>
            <w:tcBorders>
              <w:top w:val="single" w:sz="4" w:space="0" w:color="auto"/>
              <w:bottom w:val="single" w:sz="4" w:space="0" w:color="auto"/>
            </w:tcBorders>
            <w:vAlign w:val="center"/>
          </w:tcPr>
          <w:p w:rsidR="001D180C" w:rsidRPr="001D180C" w:rsidRDefault="001D180C" w:rsidP="00402758">
            <w:pPr>
              <w:tabs>
                <w:tab w:val="num" w:pos="720"/>
              </w:tabs>
              <w:jc w:val="both"/>
              <w:rPr>
                <w:rFonts w:ascii="Arial" w:eastAsia="Times New Roman" w:hAnsi="Arial" w:cs="Arial"/>
                <w:b/>
                <w:bCs/>
                <w:sz w:val="20"/>
                <w:szCs w:val="20"/>
                <w:lang w:val="en-US" w:eastAsia="en-US"/>
              </w:rPr>
            </w:pPr>
            <w:r w:rsidRPr="001D180C">
              <w:rPr>
                <w:rFonts w:ascii="Arial" w:eastAsia="Times New Roman" w:hAnsi="Arial" w:cs="Arial"/>
                <w:b/>
                <w:bCs/>
                <w:sz w:val="20"/>
                <w:szCs w:val="20"/>
                <w:lang w:val="en-US" w:eastAsia="en-US"/>
              </w:rPr>
              <w:t>Kategori</w:t>
            </w:r>
          </w:p>
        </w:tc>
        <w:tc>
          <w:tcPr>
            <w:tcW w:w="1057" w:type="dxa"/>
            <w:tcBorders>
              <w:top w:val="single" w:sz="4" w:space="0" w:color="auto"/>
              <w:bottom w:val="single" w:sz="4" w:space="0" w:color="auto"/>
            </w:tcBorders>
            <w:vAlign w:val="center"/>
          </w:tcPr>
          <w:p w:rsidR="001D180C" w:rsidRPr="001D180C" w:rsidRDefault="001D180C" w:rsidP="001D180C">
            <w:pPr>
              <w:tabs>
                <w:tab w:val="num" w:pos="720"/>
              </w:tabs>
              <w:jc w:val="center"/>
              <w:rPr>
                <w:rFonts w:ascii="Arial" w:eastAsia="Times New Roman" w:hAnsi="Arial" w:cs="Arial"/>
                <w:b/>
                <w:bCs/>
                <w:sz w:val="20"/>
                <w:szCs w:val="20"/>
                <w:lang w:val="en-US" w:eastAsia="en-US"/>
              </w:rPr>
            </w:pPr>
            <w:r w:rsidRPr="001D180C">
              <w:rPr>
                <w:rFonts w:ascii="Arial" w:eastAsia="Times New Roman" w:hAnsi="Arial" w:cs="Arial"/>
                <w:b/>
                <w:bCs/>
                <w:sz w:val="20"/>
                <w:szCs w:val="20"/>
                <w:lang w:val="en-US" w:eastAsia="en-US"/>
              </w:rPr>
              <w:t>Jumlah</w:t>
            </w:r>
          </w:p>
        </w:tc>
        <w:tc>
          <w:tcPr>
            <w:tcW w:w="1919" w:type="dxa"/>
            <w:tcBorders>
              <w:top w:val="single" w:sz="4" w:space="0" w:color="auto"/>
              <w:bottom w:val="single" w:sz="4" w:space="0" w:color="auto"/>
            </w:tcBorders>
            <w:vAlign w:val="center"/>
          </w:tcPr>
          <w:p w:rsidR="001D180C" w:rsidRPr="001D180C" w:rsidRDefault="001D180C" w:rsidP="001D180C">
            <w:pPr>
              <w:tabs>
                <w:tab w:val="num" w:pos="720"/>
              </w:tabs>
              <w:jc w:val="center"/>
              <w:rPr>
                <w:rFonts w:ascii="Arial" w:eastAsia="Times New Roman" w:hAnsi="Arial" w:cs="Arial"/>
                <w:b/>
                <w:bCs/>
                <w:sz w:val="20"/>
                <w:szCs w:val="20"/>
                <w:lang w:val="en-US" w:eastAsia="en-US"/>
              </w:rPr>
            </w:pPr>
            <w:r w:rsidRPr="001D180C">
              <w:rPr>
                <w:rFonts w:ascii="Arial" w:eastAsia="Times New Roman" w:hAnsi="Arial" w:cs="Arial"/>
                <w:b/>
                <w:bCs/>
                <w:sz w:val="20"/>
                <w:szCs w:val="20"/>
                <w:lang w:val="en-US" w:eastAsia="en-US"/>
              </w:rPr>
              <w:t>Persentase</w:t>
            </w:r>
          </w:p>
        </w:tc>
      </w:tr>
      <w:tr w:rsidR="001D180C" w:rsidRPr="001D180C" w:rsidTr="001D180C">
        <w:tc>
          <w:tcPr>
            <w:tcW w:w="2835" w:type="dxa"/>
            <w:tcBorders>
              <w:top w:val="single" w:sz="4" w:space="0" w:color="auto"/>
            </w:tcBorders>
            <w:vAlign w:val="center"/>
          </w:tcPr>
          <w:p w:rsidR="001D180C" w:rsidRPr="001D180C" w:rsidRDefault="001D180C" w:rsidP="00402758">
            <w:pPr>
              <w:tabs>
                <w:tab w:val="num" w:pos="720"/>
              </w:tabs>
              <w:jc w:val="both"/>
              <w:rPr>
                <w:rFonts w:ascii="Arial" w:eastAsia="Times New Roman" w:hAnsi="Arial" w:cs="Arial"/>
                <w:sz w:val="20"/>
                <w:szCs w:val="20"/>
                <w:lang w:val="en-US" w:eastAsia="en-US"/>
              </w:rPr>
            </w:pPr>
            <w:r w:rsidRPr="001D180C">
              <w:rPr>
                <w:rFonts w:ascii="Arial" w:eastAsia="Times New Roman" w:hAnsi="Arial" w:cs="Arial"/>
                <w:sz w:val="20"/>
                <w:szCs w:val="20"/>
                <w:lang w:val="en-US" w:eastAsia="en-US"/>
              </w:rPr>
              <w:t>Normal</w:t>
            </w:r>
          </w:p>
        </w:tc>
        <w:tc>
          <w:tcPr>
            <w:tcW w:w="1057" w:type="dxa"/>
            <w:tcBorders>
              <w:top w:val="single" w:sz="4" w:space="0" w:color="auto"/>
            </w:tcBorders>
            <w:vAlign w:val="center"/>
          </w:tcPr>
          <w:p w:rsidR="001D180C" w:rsidRPr="001D180C" w:rsidRDefault="001D180C" w:rsidP="001D180C">
            <w:pPr>
              <w:tabs>
                <w:tab w:val="num" w:pos="720"/>
              </w:tabs>
              <w:jc w:val="center"/>
              <w:rPr>
                <w:rFonts w:ascii="Arial" w:eastAsia="Times New Roman" w:hAnsi="Arial" w:cs="Arial"/>
                <w:sz w:val="20"/>
                <w:szCs w:val="20"/>
                <w:lang w:val="en-US" w:eastAsia="en-US"/>
              </w:rPr>
            </w:pPr>
            <w:r w:rsidRPr="001D180C">
              <w:rPr>
                <w:rFonts w:ascii="Arial" w:eastAsia="Times New Roman" w:hAnsi="Arial" w:cs="Arial"/>
                <w:sz w:val="20"/>
                <w:szCs w:val="20"/>
                <w:lang w:val="en-US" w:eastAsia="en-US"/>
              </w:rPr>
              <w:t>15</w:t>
            </w:r>
          </w:p>
        </w:tc>
        <w:tc>
          <w:tcPr>
            <w:tcW w:w="1919" w:type="dxa"/>
            <w:tcBorders>
              <w:top w:val="single" w:sz="4" w:space="0" w:color="auto"/>
            </w:tcBorders>
            <w:vAlign w:val="center"/>
          </w:tcPr>
          <w:p w:rsidR="001D180C" w:rsidRPr="001D180C" w:rsidRDefault="001D180C" w:rsidP="001D180C">
            <w:pPr>
              <w:tabs>
                <w:tab w:val="num" w:pos="720"/>
              </w:tabs>
              <w:jc w:val="center"/>
              <w:rPr>
                <w:rFonts w:ascii="Arial" w:eastAsia="Times New Roman" w:hAnsi="Arial" w:cs="Arial"/>
                <w:sz w:val="20"/>
                <w:szCs w:val="20"/>
                <w:lang w:val="en-US" w:eastAsia="en-US"/>
              </w:rPr>
            </w:pPr>
            <w:r w:rsidRPr="001D180C">
              <w:rPr>
                <w:rFonts w:ascii="Arial" w:eastAsia="Times New Roman" w:hAnsi="Arial" w:cs="Arial"/>
                <w:sz w:val="20"/>
                <w:szCs w:val="20"/>
                <w:lang w:val="en-US" w:eastAsia="en-US"/>
              </w:rPr>
              <w:t>28,8%</w:t>
            </w:r>
          </w:p>
        </w:tc>
      </w:tr>
      <w:tr w:rsidR="001D180C" w:rsidRPr="001D180C" w:rsidTr="001D180C">
        <w:tc>
          <w:tcPr>
            <w:tcW w:w="2835" w:type="dxa"/>
            <w:vAlign w:val="center"/>
          </w:tcPr>
          <w:p w:rsidR="001D180C" w:rsidRPr="001D180C" w:rsidRDefault="001D180C" w:rsidP="00402758">
            <w:pPr>
              <w:tabs>
                <w:tab w:val="num" w:pos="720"/>
              </w:tabs>
              <w:jc w:val="both"/>
              <w:rPr>
                <w:rFonts w:ascii="Arial" w:eastAsia="Times New Roman" w:hAnsi="Arial" w:cs="Arial"/>
                <w:sz w:val="20"/>
                <w:szCs w:val="20"/>
                <w:lang w:val="en-US" w:eastAsia="en-US"/>
              </w:rPr>
            </w:pPr>
            <w:r w:rsidRPr="001D180C">
              <w:rPr>
                <w:rFonts w:ascii="Arial" w:eastAsia="Times New Roman" w:hAnsi="Arial" w:cs="Arial"/>
                <w:sz w:val="20"/>
                <w:szCs w:val="20"/>
                <w:lang w:val="en-US" w:eastAsia="en-US"/>
              </w:rPr>
              <w:t>Elevated</w:t>
            </w:r>
          </w:p>
        </w:tc>
        <w:tc>
          <w:tcPr>
            <w:tcW w:w="1057" w:type="dxa"/>
            <w:vAlign w:val="center"/>
          </w:tcPr>
          <w:p w:rsidR="001D180C" w:rsidRPr="001D180C" w:rsidRDefault="001D180C" w:rsidP="001D180C">
            <w:pPr>
              <w:tabs>
                <w:tab w:val="num" w:pos="720"/>
              </w:tabs>
              <w:jc w:val="center"/>
              <w:rPr>
                <w:rFonts w:ascii="Arial" w:eastAsia="Times New Roman" w:hAnsi="Arial" w:cs="Arial"/>
                <w:sz w:val="20"/>
                <w:szCs w:val="20"/>
                <w:lang w:val="en-US" w:eastAsia="en-US"/>
              </w:rPr>
            </w:pPr>
            <w:r w:rsidRPr="001D180C">
              <w:rPr>
                <w:rFonts w:ascii="Arial" w:eastAsia="Times New Roman" w:hAnsi="Arial" w:cs="Arial"/>
                <w:sz w:val="20"/>
                <w:szCs w:val="20"/>
                <w:lang w:val="en-US" w:eastAsia="en-US"/>
              </w:rPr>
              <w:t>6</w:t>
            </w:r>
          </w:p>
        </w:tc>
        <w:tc>
          <w:tcPr>
            <w:tcW w:w="1919" w:type="dxa"/>
            <w:vAlign w:val="center"/>
          </w:tcPr>
          <w:p w:rsidR="001D180C" w:rsidRPr="001D180C" w:rsidRDefault="001D180C" w:rsidP="001D180C">
            <w:pPr>
              <w:tabs>
                <w:tab w:val="num" w:pos="720"/>
              </w:tabs>
              <w:jc w:val="center"/>
              <w:rPr>
                <w:rFonts w:ascii="Arial" w:eastAsia="Times New Roman" w:hAnsi="Arial" w:cs="Arial"/>
                <w:sz w:val="20"/>
                <w:szCs w:val="20"/>
                <w:lang w:val="en-US" w:eastAsia="en-US"/>
              </w:rPr>
            </w:pPr>
            <w:r w:rsidRPr="001D180C">
              <w:rPr>
                <w:rFonts w:ascii="Arial" w:eastAsia="Times New Roman" w:hAnsi="Arial" w:cs="Arial"/>
                <w:sz w:val="20"/>
                <w:szCs w:val="20"/>
                <w:lang w:val="en-US" w:eastAsia="en-US"/>
              </w:rPr>
              <w:t>11,5%</w:t>
            </w:r>
          </w:p>
        </w:tc>
      </w:tr>
      <w:tr w:rsidR="001D180C" w:rsidRPr="001D180C" w:rsidTr="001D180C">
        <w:tc>
          <w:tcPr>
            <w:tcW w:w="2835" w:type="dxa"/>
            <w:vAlign w:val="center"/>
          </w:tcPr>
          <w:p w:rsidR="001D180C" w:rsidRPr="001D180C" w:rsidRDefault="001D180C" w:rsidP="00402758">
            <w:pPr>
              <w:tabs>
                <w:tab w:val="num" w:pos="720"/>
              </w:tabs>
              <w:jc w:val="both"/>
              <w:rPr>
                <w:rFonts w:ascii="Arial" w:eastAsia="Times New Roman" w:hAnsi="Arial" w:cs="Arial"/>
                <w:sz w:val="20"/>
                <w:szCs w:val="20"/>
                <w:lang w:val="en-US" w:eastAsia="en-US"/>
              </w:rPr>
            </w:pPr>
            <w:r w:rsidRPr="001D180C">
              <w:rPr>
                <w:rFonts w:ascii="Arial" w:eastAsia="Times New Roman" w:hAnsi="Arial" w:cs="Arial"/>
                <w:sz w:val="20"/>
                <w:szCs w:val="20"/>
                <w:lang w:val="en-US" w:eastAsia="en-US"/>
              </w:rPr>
              <w:t>Hipertensi Tahap 1</w:t>
            </w:r>
          </w:p>
        </w:tc>
        <w:tc>
          <w:tcPr>
            <w:tcW w:w="1057" w:type="dxa"/>
            <w:vAlign w:val="center"/>
          </w:tcPr>
          <w:p w:rsidR="001D180C" w:rsidRPr="001D180C" w:rsidRDefault="001D180C" w:rsidP="001D180C">
            <w:pPr>
              <w:tabs>
                <w:tab w:val="num" w:pos="720"/>
              </w:tabs>
              <w:jc w:val="center"/>
              <w:rPr>
                <w:rFonts w:ascii="Arial" w:eastAsia="Times New Roman" w:hAnsi="Arial" w:cs="Arial"/>
                <w:sz w:val="20"/>
                <w:szCs w:val="20"/>
                <w:lang w:val="en-US" w:eastAsia="en-US"/>
              </w:rPr>
            </w:pPr>
            <w:r w:rsidRPr="001D180C">
              <w:rPr>
                <w:rFonts w:ascii="Arial" w:eastAsia="Times New Roman" w:hAnsi="Arial" w:cs="Arial"/>
                <w:sz w:val="20"/>
                <w:szCs w:val="20"/>
                <w:lang w:val="en-US" w:eastAsia="en-US"/>
              </w:rPr>
              <w:t>17</w:t>
            </w:r>
          </w:p>
        </w:tc>
        <w:tc>
          <w:tcPr>
            <w:tcW w:w="1919" w:type="dxa"/>
            <w:vAlign w:val="center"/>
          </w:tcPr>
          <w:p w:rsidR="001D180C" w:rsidRPr="001D180C" w:rsidRDefault="001D180C" w:rsidP="001D180C">
            <w:pPr>
              <w:tabs>
                <w:tab w:val="num" w:pos="720"/>
              </w:tabs>
              <w:jc w:val="center"/>
              <w:rPr>
                <w:rFonts w:ascii="Arial" w:eastAsia="Times New Roman" w:hAnsi="Arial" w:cs="Arial"/>
                <w:sz w:val="20"/>
                <w:szCs w:val="20"/>
                <w:lang w:val="en-US" w:eastAsia="en-US"/>
              </w:rPr>
            </w:pPr>
            <w:r w:rsidRPr="001D180C">
              <w:rPr>
                <w:rFonts w:ascii="Arial" w:eastAsia="Times New Roman" w:hAnsi="Arial" w:cs="Arial"/>
                <w:sz w:val="20"/>
                <w:szCs w:val="20"/>
                <w:lang w:val="en-US" w:eastAsia="en-US"/>
              </w:rPr>
              <w:t>32,7%</w:t>
            </w:r>
          </w:p>
        </w:tc>
      </w:tr>
      <w:tr w:rsidR="001D180C" w:rsidRPr="001D180C" w:rsidTr="001D180C">
        <w:tc>
          <w:tcPr>
            <w:tcW w:w="2835" w:type="dxa"/>
            <w:vAlign w:val="center"/>
          </w:tcPr>
          <w:p w:rsidR="001D180C" w:rsidRPr="001D180C" w:rsidRDefault="001D180C" w:rsidP="00402758">
            <w:pPr>
              <w:tabs>
                <w:tab w:val="num" w:pos="720"/>
              </w:tabs>
              <w:jc w:val="both"/>
              <w:rPr>
                <w:rFonts w:ascii="Arial" w:eastAsia="Times New Roman" w:hAnsi="Arial" w:cs="Arial"/>
                <w:sz w:val="20"/>
                <w:szCs w:val="20"/>
                <w:lang w:val="en-US" w:eastAsia="en-US"/>
              </w:rPr>
            </w:pPr>
            <w:r w:rsidRPr="001D180C">
              <w:rPr>
                <w:rFonts w:ascii="Arial" w:eastAsia="Times New Roman" w:hAnsi="Arial" w:cs="Arial"/>
                <w:sz w:val="20"/>
                <w:szCs w:val="20"/>
                <w:lang w:val="en-US" w:eastAsia="en-US"/>
              </w:rPr>
              <w:t>Hipertensi  tahap 2</w:t>
            </w:r>
          </w:p>
        </w:tc>
        <w:tc>
          <w:tcPr>
            <w:tcW w:w="1057" w:type="dxa"/>
            <w:vAlign w:val="center"/>
          </w:tcPr>
          <w:p w:rsidR="001D180C" w:rsidRPr="001D180C" w:rsidRDefault="001D180C" w:rsidP="001D180C">
            <w:pPr>
              <w:tabs>
                <w:tab w:val="num" w:pos="720"/>
              </w:tabs>
              <w:jc w:val="center"/>
              <w:rPr>
                <w:rFonts w:ascii="Arial" w:eastAsia="Times New Roman" w:hAnsi="Arial" w:cs="Arial"/>
                <w:sz w:val="20"/>
                <w:szCs w:val="20"/>
                <w:lang w:val="en-US" w:eastAsia="en-US"/>
              </w:rPr>
            </w:pPr>
            <w:r w:rsidRPr="001D180C">
              <w:rPr>
                <w:rFonts w:ascii="Arial" w:eastAsia="Times New Roman" w:hAnsi="Arial" w:cs="Arial"/>
                <w:sz w:val="20"/>
                <w:szCs w:val="20"/>
                <w:lang w:val="en-US" w:eastAsia="en-US"/>
              </w:rPr>
              <w:t>14</w:t>
            </w:r>
          </w:p>
        </w:tc>
        <w:tc>
          <w:tcPr>
            <w:tcW w:w="1919" w:type="dxa"/>
            <w:vAlign w:val="center"/>
          </w:tcPr>
          <w:p w:rsidR="001D180C" w:rsidRPr="001D180C" w:rsidRDefault="001D180C" w:rsidP="001D180C">
            <w:pPr>
              <w:tabs>
                <w:tab w:val="num" w:pos="720"/>
              </w:tabs>
              <w:jc w:val="center"/>
              <w:rPr>
                <w:rFonts w:ascii="Arial" w:eastAsia="Times New Roman" w:hAnsi="Arial" w:cs="Arial"/>
                <w:sz w:val="20"/>
                <w:szCs w:val="20"/>
                <w:lang w:val="en-US" w:eastAsia="en-US"/>
              </w:rPr>
            </w:pPr>
            <w:r w:rsidRPr="001D180C">
              <w:rPr>
                <w:rFonts w:ascii="Arial" w:eastAsia="Times New Roman" w:hAnsi="Arial" w:cs="Arial"/>
                <w:sz w:val="20"/>
                <w:szCs w:val="20"/>
                <w:lang w:val="en-US" w:eastAsia="en-US"/>
              </w:rPr>
              <w:t>26,9</w:t>
            </w:r>
          </w:p>
        </w:tc>
      </w:tr>
    </w:tbl>
    <w:p w:rsidR="00E65A35" w:rsidRPr="00E65A35" w:rsidRDefault="007A3BFC" w:rsidP="001D180C">
      <w:pPr>
        <w:pStyle w:val="IEEEParagraph"/>
        <w:ind w:left="357" w:firstLine="0"/>
        <w:rPr>
          <w:rFonts w:ascii="Arial" w:hAnsi="Arial" w:cs="Arial"/>
          <w:lang w:val="en-US"/>
        </w:rPr>
      </w:pPr>
      <w:r>
        <w:rPr>
          <w:rFonts w:ascii="Arial" w:hAnsi="Arial" w:cs="Arial"/>
          <w:lang w:val="en-US"/>
        </w:rPr>
        <w:t xml:space="preserve">       </w:t>
      </w:r>
    </w:p>
    <w:p w:rsidR="001D180C" w:rsidRDefault="00E65A35" w:rsidP="001D180C">
      <w:pPr>
        <w:pStyle w:val="IEEEParagraph"/>
        <w:ind w:left="357" w:firstLine="0"/>
        <w:rPr>
          <w:rFonts w:ascii="Arial" w:hAnsi="Arial" w:cs="Arial"/>
          <w:lang w:val="id-ID"/>
        </w:rPr>
      </w:pPr>
      <w:r w:rsidRPr="00E65A35">
        <w:rPr>
          <w:rFonts w:ascii="Arial" w:hAnsi="Arial" w:cs="Arial"/>
          <w:lang w:val="en-US"/>
        </w:rPr>
        <w:t xml:space="preserve">        </w:t>
      </w:r>
      <w:r w:rsidR="0067524B" w:rsidRPr="00E65A35">
        <w:rPr>
          <w:rFonts w:ascii="Arial" w:hAnsi="Arial" w:cs="Arial"/>
          <w:lang w:val="id-ID"/>
        </w:rPr>
        <w:t xml:space="preserve">Proporsi prahipertensi yang cukup besar pada remaja ini mengindikasikan adanya faktor risiko dini penyakit tidak menular. Oleh karena itu, diperlukan edukasi mengenai pola makan sehat, pembatasan </w:t>
      </w:r>
      <w:r w:rsidR="0067524B" w:rsidRPr="00E65A35">
        <w:rPr>
          <w:rFonts w:ascii="Arial" w:hAnsi="Arial" w:cs="Arial"/>
          <w:lang w:val="id-ID"/>
        </w:rPr>
        <w:lastRenderedPageBreak/>
        <w:t>konsumsi garam dan makanan tinggi lemak, peningkatan aktivitas fisik, serta skrining tekanan darah secara rutin di lingkungan sekolah.</w:t>
      </w:r>
      <w:bookmarkStart w:id="0" w:name="_GoBack"/>
      <w:bookmarkEnd w:id="0"/>
    </w:p>
    <w:p w:rsidR="001D180C" w:rsidRDefault="001D180C" w:rsidP="001D180C">
      <w:pPr>
        <w:pStyle w:val="IEEEParagraph"/>
        <w:ind w:left="357" w:firstLine="0"/>
        <w:rPr>
          <w:rFonts w:ascii="Arial" w:eastAsia="Times New Roman" w:hAnsi="Arial" w:cs="Arial"/>
          <w:lang w:val="en-US" w:eastAsia="en-US"/>
        </w:rPr>
      </w:pPr>
    </w:p>
    <w:p w:rsidR="002761B9" w:rsidRPr="002761B9" w:rsidRDefault="002761B9" w:rsidP="001D180C">
      <w:pPr>
        <w:pStyle w:val="IEEEParagraph"/>
        <w:ind w:left="357" w:firstLine="0"/>
        <w:rPr>
          <w:rFonts w:ascii="Arial" w:eastAsia="Times New Roman" w:hAnsi="Arial" w:cs="Arial"/>
          <w:b/>
          <w:lang w:val="en-US" w:eastAsia="en-US"/>
        </w:rPr>
      </w:pPr>
      <w:r w:rsidRPr="002761B9">
        <w:rPr>
          <w:rFonts w:ascii="Arial" w:eastAsia="Times New Roman" w:hAnsi="Arial" w:cs="Arial"/>
          <w:b/>
          <w:lang w:val="en-US" w:eastAsia="en-US"/>
        </w:rPr>
        <w:t>Gambaran pemeriksaan gula darah remaja.</w:t>
      </w:r>
    </w:p>
    <w:p w:rsidR="00184341" w:rsidRDefault="002761B9" w:rsidP="001D180C">
      <w:pPr>
        <w:pStyle w:val="IEEEParagraph"/>
        <w:ind w:left="357" w:firstLine="0"/>
        <w:rPr>
          <w:rFonts w:ascii="Arial" w:eastAsia="Times New Roman" w:hAnsi="Arial" w:cs="Arial"/>
          <w:i/>
          <w:lang w:val="en-US" w:eastAsia="en-US"/>
        </w:rPr>
      </w:pPr>
      <w:r>
        <w:rPr>
          <w:rFonts w:ascii="Arial" w:eastAsia="Times New Roman" w:hAnsi="Arial" w:cs="Arial"/>
          <w:lang w:val="en-US" w:eastAsia="en-US"/>
        </w:rPr>
        <w:t xml:space="preserve">       </w:t>
      </w:r>
      <w:r w:rsidR="007A3BFC">
        <w:rPr>
          <w:rFonts w:ascii="Arial" w:eastAsia="Times New Roman" w:hAnsi="Arial" w:cs="Arial"/>
          <w:lang w:val="en-US" w:eastAsia="en-US"/>
        </w:rPr>
        <w:t xml:space="preserve">Pemeriksaan gula darah diikuti oleh </w:t>
      </w:r>
      <w:r w:rsidR="00E65A35" w:rsidRPr="006A31A9">
        <w:rPr>
          <w:rFonts w:ascii="Arial" w:eastAsia="Times New Roman" w:hAnsi="Arial" w:cs="Arial"/>
          <w:lang w:val="en-US" w:eastAsia="en-US"/>
        </w:rPr>
        <w:t>27</w:t>
      </w:r>
      <w:r w:rsidR="00FE0146">
        <w:rPr>
          <w:rFonts w:ascii="Arial" w:eastAsia="Times New Roman" w:hAnsi="Arial" w:cs="Arial"/>
          <w:lang w:val="en-US" w:eastAsia="en-US"/>
        </w:rPr>
        <w:t xml:space="preserve"> s</w:t>
      </w:r>
      <w:r w:rsidR="00E65A35" w:rsidRPr="006A31A9">
        <w:rPr>
          <w:rFonts w:ascii="Arial" w:eastAsia="Times New Roman" w:hAnsi="Arial" w:cs="Arial"/>
          <w:lang w:val="en-US" w:eastAsia="en-US"/>
        </w:rPr>
        <w:t>iswa</w:t>
      </w:r>
      <w:r w:rsidR="00FE0146">
        <w:rPr>
          <w:rFonts w:ascii="Arial" w:eastAsia="Times New Roman" w:hAnsi="Arial" w:cs="Arial"/>
          <w:lang w:val="en-US" w:eastAsia="en-US"/>
        </w:rPr>
        <w:t xml:space="preserve"> secara sukarela. R</w:t>
      </w:r>
      <w:r w:rsidR="00E65A35" w:rsidRPr="00E65A35">
        <w:rPr>
          <w:rFonts w:ascii="Arial" w:eastAsia="Times New Roman" w:hAnsi="Arial" w:cs="Arial"/>
          <w:lang w:val="en-US" w:eastAsia="en-US"/>
        </w:rPr>
        <w:t xml:space="preserve">entang </w:t>
      </w:r>
      <w:r w:rsidR="000D4E9F">
        <w:rPr>
          <w:rFonts w:ascii="Arial" w:eastAsia="Times New Roman" w:hAnsi="Arial" w:cs="Arial"/>
          <w:lang w:val="en-US" w:eastAsia="en-US"/>
        </w:rPr>
        <w:t xml:space="preserve">nilainya </w:t>
      </w:r>
      <w:r w:rsidR="000D4E9F">
        <w:rPr>
          <w:rFonts w:ascii="Arial" w:eastAsia="Times New Roman" w:hAnsi="Arial" w:cs="Arial"/>
          <w:bCs/>
          <w:lang w:val="en-US" w:eastAsia="en-US"/>
        </w:rPr>
        <w:t>79–142 mg/dL</w:t>
      </w:r>
      <w:r w:rsidR="00E65A35" w:rsidRPr="000D4E9F">
        <w:rPr>
          <w:rFonts w:ascii="Arial" w:eastAsia="Times New Roman" w:hAnsi="Arial" w:cs="Arial"/>
          <w:lang w:val="en-US" w:eastAsia="en-US"/>
        </w:rPr>
        <w:t>.</w:t>
      </w:r>
      <w:r w:rsidR="00E65A35" w:rsidRPr="006A31A9">
        <w:rPr>
          <w:rFonts w:ascii="Arial" w:eastAsia="Times New Roman" w:hAnsi="Arial" w:cs="Arial"/>
          <w:lang w:val="en-US" w:eastAsia="en-US"/>
        </w:rPr>
        <w:t xml:space="preserve"> </w:t>
      </w:r>
      <w:r w:rsidR="000D4E9F">
        <w:rPr>
          <w:rFonts w:ascii="Arial" w:eastAsia="Times New Roman" w:hAnsi="Arial" w:cs="Arial"/>
          <w:lang w:val="en-US" w:eastAsia="en-US"/>
        </w:rPr>
        <w:t xml:space="preserve">Menurut </w:t>
      </w:r>
      <w:r w:rsidR="000D4E9F" w:rsidRPr="000D4E9F">
        <w:rPr>
          <w:rFonts w:ascii="Arial" w:eastAsia="Times New Roman" w:hAnsi="Arial" w:cs="Arial"/>
          <w:i/>
          <w:lang w:val="en-US" w:eastAsia="en-US"/>
        </w:rPr>
        <w:t>American Diabetic Association Diagnostic Criteria</w:t>
      </w:r>
      <w:r w:rsidR="00184341">
        <w:rPr>
          <w:rFonts w:ascii="Arial" w:eastAsia="Times New Roman" w:hAnsi="Arial" w:cs="Arial"/>
          <w:i/>
          <w:lang w:val="en-US" w:eastAsia="en-US"/>
        </w:rPr>
        <w:fldChar w:fldCharType="begin" w:fldLock="1"/>
      </w:r>
      <w:r w:rsidR="0001373A">
        <w:rPr>
          <w:rFonts w:ascii="Arial" w:eastAsia="Times New Roman" w:hAnsi="Arial" w:cs="Arial"/>
          <w:i/>
          <w:lang w:val="en-US" w:eastAsia="en-US"/>
        </w:rPr>
        <w:instrText>ADDIN CSL_CITATION {"citationItems":[{"id":"ITEM-1","itemData":{"URL":"https://emedicine.medscape.com/article/2172154","abstract":"Diagnostic criteria by the American Diabetes Association (ADA) include the following [1] : A fasting plasma glucose (FPG) level of 126 mg/dL (7.0 mmol/L) or higher (with fasting referring to no caloric intake for 8 hours or more),* or A 2-hour plasma glucose level of 200 mg/dL (11.1 mmol/L) or higher during a 75-g oral glucose tolerance test (OGTT),* or A hemoglobin A1c (HbA1c) level of 6.5% (48 mmol/mol) or higher,*†or A random plasma glucose of 200 mg/dL (11.1 mmol/L) or higher in a patient with classic symptoms of hyperglycemia or hyperglycemic crisis","author":[{"dropping-particle":"","family":"Anastasopoulou","given":"Catherine","non-dropping-particle":"","parse-names":false,"suffix":""}],"container-title":"Diabetes Care","id":"ITEM-1","issued":{"date-parts":[["2025"]]},"title":"Type 2 Diabetes Diagnostic Criteria by the ADA","type":"webpage"},"uris":["http://www.mendeley.com/documents/?uuid=d9937ad5-2f46-4cbb-bf97-cd5793e6eb35"]}],"mendeley":{"formattedCitation":"(9)","plainTextFormattedCitation":"(9)","previouslyFormattedCitation":"(9)"},"properties":{"noteIndex":0},"schema":"https://github.com/citation-style-language/schema/raw/master/csl-citation.json"}</w:instrText>
      </w:r>
      <w:r w:rsidR="00184341">
        <w:rPr>
          <w:rFonts w:ascii="Arial" w:eastAsia="Times New Roman" w:hAnsi="Arial" w:cs="Arial"/>
          <w:i/>
          <w:lang w:val="en-US" w:eastAsia="en-US"/>
        </w:rPr>
        <w:fldChar w:fldCharType="separate"/>
      </w:r>
      <w:r w:rsidR="00184341" w:rsidRPr="00184341">
        <w:rPr>
          <w:rFonts w:ascii="Arial" w:eastAsia="Times New Roman" w:hAnsi="Arial" w:cs="Arial"/>
          <w:noProof/>
          <w:lang w:val="en-US" w:eastAsia="en-US"/>
        </w:rPr>
        <w:t>(9)</w:t>
      </w:r>
      <w:r w:rsidR="00184341">
        <w:rPr>
          <w:rFonts w:ascii="Arial" w:eastAsia="Times New Roman" w:hAnsi="Arial" w:cs="Arial"/>
          <w:i/>
          <w:lang w:val="en-US" w:eastAsia="en-US"/>
        </w:rPr>
        <w:fldChar w:fldCharType="end"/>
      </w:r>
    </w:p>
    <w:p w:rsidR="00184341" w:rsidRPr="00184341" w:rsidRDefault="00184341" w:rsidP="00184341">
      <w:pPr>
        <w:pStyle w:val="IEEEParagraph"/>
        <w:ind w:firstLine="0"/>
        <w:jc w:val="center"/>
        <w:rPr>
          <w:rFonts w:ascii="Arial" w:eastAsia="Times New Roman" w:hAnsi="Arial" w:cs="Arial"/>
          <w:lang w:val="en-US" w:eastAsia="en-US"/>
        </w:rPr>
      </w:pPr>
      <w:r w:rsidRPr="00184341">
        <w:rPr>
          <w:rFonts w:ascii="Arial" w:eastAsia="Times New Roman" w:hAnsi="Arial" w:cs="Arial"/>
          <w:b/>
          <w:lang w:val="en-US" w:eastAsia="en-US"/>
        </w:rPr>
        <w:t>Tabel 4</w:t>
      </w:r>
      <w:r>
        <w:rPr>
          <w:rFonts w:ascii="Arial" w:eastAsia="Times New Roman" w:hAnsi="Arial" w:cs="Arial"/>
          <w:lang w:val="en-US" w:eastAsia="en-US"/>
        </w:rPr>
        <w:t>.</w:t>
      </w:r>
      <w:r w:rsidRPr="00184341">
        <w:rPr>
          <w:rFonts w:ascii="Arial" w:eastAsia="Times New Roman" w:hAnsi="Arial" w:cs="Arial"/>
          <w:lang w:val="en-US" w:eastAsia="en-US"/>
        </w:rPr>
        <w:t xml:space="preserve"> Parameter Gula darah</w:t>
      </w:r>
    </w:p>
    <w:tbl>
      <w:tblPr>
        <w:tblStyle w:val="TableGrid"/>
        <w:tblW w:w="0" w:type="auto"/>
        <w:tblInd w:w="72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
        <w:gridCol w:w="2977"/>
        <w:gridCol w:w="3260"/>
      </w:tblGrid>
      <w:tr w:rsidR="00184341" w:rsidRPr="00184341" w:rsidTr="00184341">
        <w:tc>
          <w:tcPr>
            <w:tcW w:w="602" w:type="dxa"/>
            <w:tcBorders>
              <w:top w:val="single" w:sz="4" w:space="0" w:color="auto"/>
              <w:bottom w:val="single" w:sz="4" w:space="0" w:color="auto"/>
            </w:tcBorders>
          </w:tcPr>
          <w:p w:rsidR="00184341" w:rsidRPr="00184341" w:rsidRDefault="00184341" w:rsidP="001D180C">
            <w:pPr>
              <w:pStyle w:val="IEEEParagraph"/>
              <w:ind w:firstLine="0"/>
              <w:rPr>
                <w:rFonts w:ascii="Arial" w:eastAsia="Times New Roman" w:hAnsi="Arial" w:cs="Arial"/>
                <w:sz w:val="20"/>
                <w:szCs w:val="20"/>
                <w:lang w:val="en-US" w:eastAsia="en-US"/>
              </w:rPr>
            </w:pPr>
            <w:r w:rsidRPr="00184341">
              <w:rPr>
                <w:rFonts w:ascii="Arial" w:eastAsia="Times New Roman" w:hAnsi="Arial" w:cs="Arial"/>
                <w:sz w:val="20"/>
                <w:szCs w:val="20"/>
                <w:lang w:val="en-US" w:eastAsia="en-US"/>
              </w:rPr>
              <w:t>No</w:t>
            </w:r>
          </w:p>
        </w:tc>
        <w:tc>
          <w:tcPr>
            <w:tcW w:w="2977" w:type="dxa"/>
            <w:tcBorders>
              <w:top w:val="single" w:sz="4" w:space="0" w:color="auto"/>
              <w:bottom w:val="single" w:sz="4" w:space="0" w:color="auto"/>
            </w:tcBorders>
          </w:tcPr>
          <w:p w:rsidR="00184341" w:rsidRPr="00184341" w:rsidRDefault="00184341" w:rsidP="001D180C">
            <w:pPr>
              <w:pStyle w:val="IEEEParagraph"/>
              <w:ind w:firstLine="0"/>
              <w:rPr>
                <w:rFonts w:ascii="Arial" w:eastAsia="Times New Roman" w:hAnsi="Arial" w:cs="Arial"/>
                <w:sz w:val="20"/>
                <w:szCs w:val="20"/>
                <w:lang w:val="en-US" w:eastAsia="en-US"/>
              </w:rPr>
            </w:pPr>
            <w:r w:rsidRPr="00184341">
              <w:rPr>
                <w:rFonts w:ascii="Arial" w:eastAsia="Times New Roman" w:hAnsi="Arial" w:cs="Arial"/>
                <w:sz w:val="20"/>
                <w:szCs w:val="20"/>
                <w:lang w:val="en-US" w:eastAsia="en-US"/>
              </w:rPr>
              <w:t>Parameter</w:t>
            </w:r>
          </w:p>
        </w:tc>
        <w:tc>
          <w:tcPr>
            <w:tcW w:w="3260" w:type="dxa"/>
            <w:tcBorders>
              <w:top w:val="single" w:sz="4" w:space="0" w:color="auto"/>
              <w:bottom w:val="single" w:sz="4" w:space="0" w:color="auto"/>
            </w:tcBorders>
          </w:tcPr>
          <w:p w:rsidR="00184341" w:rsidRPr="00184341" w:rsidRDefault="00184341" w:rsidP="001D180C">
            <w:pPr>
              <w:pStyle w:val="IEEEParagraph"/>
              <w:ind w:firstLine="0"/>
              <w:rPr>
                <w:rFonts w:ascii="Arial" w:eastAsia="Times New Roman" w:hAnsi="Arial" w:cs="Arial"/>
                <w:sz w:val="20"/>
                <w:szCs w:val="20"/>
                <w:lang w:val="en-US" w:eastAsia="en-US"/>
              </w:rPr>
            </w:pPr>
            <w:r w:rsidRPr="00184341">
              <w:rPr>
                <w:rFonts w:ascii="Arial" w:eastAsia="Times New Roman" w:hAnsi="Arial" w:cs="Arial"/>
                <w:sz w:val="20"/>
                <w:szCs w:val="20"/>
                <w:lang w:val="en-US" w:eastAsia="en-US"/>
              </w:rPr>
              <w:t xml:space="preserve">Nilai </w:t>
            </w:r>
          </w:p>
        </w:tc>
      </w:tr>
      <w:tr w:rsidR="00184341" w:rsidRPr="00184341" w:rsidTr="00184341">
        <w:tc>
          <w:tcPr>
            <w:tcW w:w="602" w:type="dxa"/>
            <w:tcBorders>
              <w:top w:val="single" w:sz="4" w:space="0" w:color="auto"/>
            </w:tcBorders>
          </w:tcPr>
          <w:p w:rsidR="00184341" w:rsidRPr="00184341" w:rsidRDefault="00184341" w:rsidP="001D180C">
            <w:pPr>
              <w:pStyle w:val="IEEEParagraph"/>
              <w:ind w:firstLine="0"/>
              <w:rPr>
                <w:rFonts w:ascii="Arial" w:eastAsia="Times New Roman" w:hAnsi="Arial" w:cs="Arial"/>
                <w:sz w:val="20"/>
                <w:szCs w:val="20"/>
                <w:lang w:val="en-US" w:eastAsia="en-US"/>
              </w:rPr>
            </w:pPr>
            <w:r w:rsidRPr="00184341">
              <w:rPr>
                <w:rFonts w:ascii="Arial" w:eastAsia="Times New Roman" w:hAnsi="Arial" w:cs="Arial"/>
                <w:sz w:val="20"/>
                <w:szCs w:val="20"/>
                <w:lang w:val="en-US" w:eastAsia="en-US"/>
              </w:rPr>
              <w:t>1</w:t>
            </w:r>
          </w:p>
        </w:tc>
        <w:tc>
          <w:tcPr>
            <w:tcW w:w="2977" w:type="dxa"/>
            <w:tcBorders>
              <w:top w:val="single" w:sz="4" w:space="0" w:color="auto"/>
            </w:tcBorders>
          </w:tcPr>
          <w:p w:rsidR="00184341" w:rsidRPr="00184341" w:rsidRDefault="00184341" w:rsidP="00184341">
            <w:pPr>
              <w:pStyle w:val="IEEEParagraph"/>
              <w:ind w:firstLine="0"/>
              <w:rPr>
                <w:rFonts w:ascii="Arial" w:eastAsia="Times New Roman" w:hAnsi="Arial" w:cs="Arial"/>
                <w:sz w:val="20"/>
                <w:szCs w:val="20"/>
                <w:lang w:val="en-US" w:eastAsia="en-US"/>
              </w:rPr>
            </w:pPr>
            <w:r w:rsidRPr="00184341">
              <w:rPr>
                <w:sz w:val="20"/>
                <w:szCs w:val="20"/>
              </w:rPr>
              <w:t xml:space="preserve">Hemoglobin A1C </w:t>
            </w:r>
          </w:p>
        </w:tc>
        <w:tc>
          <w:tcPr>
            <w:tcW w:w="3260" w:type="dxa"/>
            <w:tcBorders>
              <w:top w:val="single" w:sz="4" w:space="0" w:color="auto"/>
            </w:tcBorders>
          </w:tcPr>
          <w:p w:rsidR="00184341" w:rsidRPr="00184341" w:rsidRDefault="00184341" w:rsidP="001D180C">
            <w:pPr>
              <w:pStyle w:val="IEEEParagraph"/>
              <w:ind w:firstLine="0"/>
              <w:rPr>
                <w:rFonts w:ascii="Arial" w:eastAsia="Times New Roman" w:hAnsi="Arial" w:cs="Arial"/>
                <w:sz w:val="20"/>
                <w:szCs w:val="20"/>
                <w:lang w:val="en-US" w:eastAsia="en-US"/>
              </w:rPr>
            </w:pPr>
            <w:r w:rsidRPr="00184341">
              <w:rPr>
                <w:rFonts w:ascii="Arial" w:eastAsia="Times New Roman" w:hAnsi="Arial" w:cs="Arial" w:hint="eastAsia"/>
                <w:sz w:val="20"/>
                <w:szCs w:val="20"/>
                <w:lang w:val="en-US" w:eastAsia="en-US"/>
              </w:rPr>
              <w:t>≥ 6.5% (≥48 mmol/mol)</w:t>
            </w:r>
          </w:p>
        </w:tc>
      </w:tr>
      <w:tr w:rsidR="00184341" w:rsidRPr="00184341" w:rsidTr="00184341">
        <w:tc>
          <w:tcPr>
            <w:tcW w:w="602" w:type="dxa"/>
          </w:tcPr>
          <w:p w:rsidR="00184341" w:rsidRPr="00184341" w:rsidRDefault="00184341" w:rsidP="001D180C">
            <w:pPr>
              <w:pStyle w:val="IEEEParagraph"/>
              <w:ind w:firstLine="0"/>
              <w:rPr>
                <w:rFonts w:ascii="Arial" w:eastAsia="Times New Roman" w:hAnsi="Arial" w:cs="Arial"/>
                <w:sz w:val="20"/>
                <w:szCs w:val="20"/>
                <w:lang w:val="en-US" w:eastAsia="en-US"/>
              </w:rPr>
            </w:pPr>
            <w:r w:rsidRPr="00184341">
              <w:rPr>
                <w:rFonts w:ascii="Arial" w:eastAsia="Times New Roman" w:hAnsi="Arial" w:cs="Arial"/>
                <w:sz w:val="20"/>
                <w:szCs w:val="20"/>
                <w:lang w:val="en-US" w:eastAsia="en-US"/>
              </w:rPr>
              <w:t>2</w:t>
            </w:r>
          </w:p>
        </w:tc>
        <w:tc>
          <w:tcPr>
            <w:tcW w:w="2977" w:type="dxa"/>
          </w:tcPr>
          <w:p w:rsidR="00184341" w:rsidRPr="00184341" w:rsidRDefault="00184341" w:rsidP="00184341">
            <w:pPr>
              <w:pStyle w:val="IEEEParagraph"/>
              <w:ind w:firstLine="0"/>
              <w:rPr>
                <w:rFonts w:ascii="Arial" w:eastAsia="Times New Roman" w:hAnsi="Arial" w:cs="Arial"/>
                <w:sz w:val="20"/>
                <w:szCs w:val="20"/>
                <w:lang w:val="en-US" w:eastAsia="en-US"/>
              </w:rPr>
            </w:pPr>
            <w:r w:rsidRPr="00184341">
              <w:rPr>
                <w:rFonts w:ascii="Arial" w:eastAsia="Times New Roman" w:hAnsi="Arial" w:cs="Arial" w:hint="eastAsia"/>
                <w:sz w:val="20"/>
                <w:szCs w:val="20"/>
                <w:lang w:val="en-US" w:eastAsia="en-US"/>
              </w:rPr>
              <w:t xml:space="preserve">Glukosa plasma puasa (FPG) </w:t>
            </w:r>
          </w:p>
        </w:tc>
        <w:tc>
          <w:tcPr>
            <w:tcW w:w="3260" w:type="dxa"/>
          </w:tcPr>
          <w:p w:rsidR="00184341" w:rsidRPr="00184341" w:rsidRDefault="00184341" w:rsidP="001D180C">
            <w:pPr>
              <w:pStyle w:val="IEEEParagraph"/>
              <w:ind w:firstLine="0"/>
              <w:rPr>
                <w:rFonts w:ascii="Arial" w:eastAsia="Times New Roman" w:hAnsi="Arial" w:cs="Arial"/>
                <w:sz w:val="20"/>
                <w:szCs w:val="20"/>
                <w:lang w:val="en-US" w:eastAsia="en-US"/>
              </w:rPr>
            </w:pPr>
            <w:r w:rsidRPr="00184341">
              <w:rPr>
                <w:rFonts w:ascii="Arial" w:eastAsia="Times New Roman" w:hAnsi="Arial" w:cs="Arial" w:hint="eastAsia"/>
                <w:sz w:val="20"/>
                <w:szCs w:val="20"/>
                <w:lang w:val="en-US" w:eastAsia="en-US"/>
              </w:rPr>
              <w:t>≥ 126 mg/dL (7.0 mmol/L)</w:t>
            </w:r>
          </w:p>
        </w:tc>
      </w:tr>
      <w:tr w:rsidR="00184341" w:rsidRPr="00184341" w:rsidTr="00184341">
        <w:tc>
          <w:tcPr>
            <w:tcW w:w="602" w:type="dxa"/>
          </w:tcPr>
          <w:p w:rsidR="00184341" w:rsidRPr="00184341" w:rsidRDefault="00184341" w:rsidP="001D180C">
            <w:pPr>
              <w:pStyle w:val="IEEEParagraph"/>
              <w:ind w:firstLine="0"/>
              <w:rPr>
                <w:rFonts w:ascii="Arial" w:eastAsia="Times New Roman" w:hAnsi="Arial" w:cs="Arial"/>
                <w:sz w:val="20"/>
                <w:szCs w:val="20"/>
                <w:lang w:val="en-US" w:eastAsia="en-US"/>
              </w:rPr>
            </w:pPr>
            <w:r w:rsidRPr="00184341">
              <w:rPr>
                <w:rFonts w:ascii="Arial" w:eastAsia="Times New Roman" w:hAnsi="Arial" w:cs="Arial"/>
                <w:sz w:val="20"/>
                <w:szCs w:val="20"/>
                <w:lang w:val="en-US" w:eastAsia="en-US"/>
              </w:rPr>
              <w:t>3</w:t>
            </w:r>
          </w:p>
        </w:tc>
        <w:tc>
          <w:tcPr>
            <w:tcW w:w="2977" w:type="dxa"/>
          </w:tcPr>
          <w:p w:rsidR="00184341" w:rsidRPr="00184341" w:rsidRDefault="00184341" w:rsidP="00184341">
            <w:pPr>
              <w:pStyle w:val="IEEEParagraph"/>
              <w:ind w:firstLine="0"/>
              <w:rPr>
                <w:rFonts w:ascii="Arial" w:eastAsia="Times New Roman" w:hAnsi="Arial" w:cs="Arial"/>
                <w:sz w:val="20"/>
                <w:szCs w:val="20"/>
                <w:lang w:val="en-US" w:eastAsia="en-US"/>
              </w:rPr>
            </w:pPr>
            <w:r w:rsidRPr="00184341">
              <w:rPr>
                <w:rFonts w:ascii="Arial" w:eastAsia="Times New Roman" w:hAnsi="Arial" w:cs="Arial" w:hint="eastAsia"/>
                <w:sz w:val="20"/>
                <w:szCs w:val="20"/>
                <w:lang w:val="en-US" w:eastAsia="en-US"/>
              </w:rPr>
              <w:t xml:space="preserve">Glukosa plasma 2 jam </w:t>
            </w:r>
          </w:p>
        </w:tc>
        <w:tc>
          <w:tcPr>
            <w:tcW w:w="3260" w:type="dxa"/>
          </w:tcPr>
          <w:p w:rsidR="00184341" w:rsidRPr="00184341" w:rsidRDefault="00184341" w:rsidP="001D180C">
            <w:pPr>
              <w:pStyle w:val="IEEEParagraph"/>
              <w:ind w:firstLine="0"/>
              <w:rPr>
                <w:rFonts w:ascii="Arial" w:eastAsia="Times New Roman" w:hAnsi="Arial" w:cs="Arial"/>
                <w:sz w:val="20"/>
                <w:szCs w:val="20"/>
                <w:lang w:val="en-US" w:eastAsia="en-US"/>
              </w:rPr>
            </w:pPr>
            <w:r w:rsidRPr="00184341">
              <w:rPr>
                <w:rFonts w:ascii="Arial" w:eastAsia="Times New Roman" w:hAnsi="Arial" w:cs="Arial" w:hint="eastAsia"/>
                <w:sz w:val="20"/>
                <w:szCs w:val="20"/>
                <w:lang w:val="en-US" w:eastAsia="en-US"/>
              </w:rPr>
              <w:t>≥ 200 mg/dL (11.1 mmol/L)</w:t>
            </w:r>
          </w:p>
        </w:tc>
      </w:tr>
      <w:tr w:rsidR="00184341" w:rsidRPr="00184341" w:rsidTr="00184341">
        <w:tc>
          <w:tcPr>
            <w:tcW w:w="602" w:type="dxa"/>
          </w:tcPr>
          <w:p w:rsidR="00184341" w:rsidRPr="00184341" w:rsidRDefault="00184341" w:rsidP="001D180C">
            <w:pPr>
              <w:pStyle w:val="IEEEParagraph"/>
              <w:ind w:firstLine="0"/>
              <w:rPr>
                <w:rFonts w:ascii="Arial" w:eastAsia="Times New Roman" w:hAnsi="Arial" w:cs="Arial"/>
                <w:sz w:val="20"/>
                <w:szCs w:val="20"/>
                <w:lang w:val="en-US" w:eastAsia="en-US"/>
              </w:rPr>
            </w:pPr>
            <w:r w:rsidRPr="00184341">
              <w:rPr>
                <w:rFonts w:ascii="Arial" w:eastAsia="Times New Roman" w:hAnsi="Arial" w:cs="Arial"/>
                <w:sz w:val="20"/>
                <w:szCs w:val="20"/>
                <w:lang w:val="en-US" w:eastAsia="en-US"/>
              </w:rPr>
              <w:t>4</w:t>
            </w:r>
          </w:p>
        </w:tc>
        <w:tc>
          <w:tcPr>
            <w:tcW w:w="2977" w:type="dxa"/>
          </w:tcPr>
          <w:p w:rsidR="00184341" w:rsidRPr="00184341" w:rsidRDefault="00184341" w:rsidP="00184341">
            <w:pPr>
              <w:pStyle w:val="IEEEParagraph"/>
              <w:ind w:firstLine="0"/>
              <w:rPr>
                <w:rFonts w:ascii="Arial" w:eastAsia="Times New Roman" w:hAnsi="Arial" w:cs="Arial"/>
                <w:sz w:val="20"/>
                <w:szCs w:val="20"/>
                <w:lang w:val="en-US" w:eastAsia="en-US"/>
              </w:rPr>
            </w:pPr>
            <w:r w:rsidRPr="00184341">
              <w:rPr>
                <w:sz w:val="20"/>
                <w:szCs w:val="20"/>
              </w:rPr>
              <w:t xml:space="preserve">Glukosa plasma acak </w:t>
            </w:r>
          </w:p>
        </w:tc>
        <w:tc>
          <w:tcPr>
            <w:tcW w:w="3260" w:type="dxa"/>
          </w:tcPr>
          <w:p w:rsidR="00184341" w:rsidRPr="00184341" w:rsidRDefault="00184341" w:rsidP="001D180C">
            <w:pPr>
              <w:pStyle w:val="IEEEParagraph"/>
              <w:ind w:firstLine="0"/>
              <w:rPr>
                <w:rFonts w:ascii="Arial" w:eastAsia="Times New Roman" w:hAnsi="Arial" w:cs="Arial"/>
                <w:sz w:val="20"/>
                <w:szCs w:val="20"/>
                <w:lang w:val="en-US" w:eastAsia="en-US"/>
              </w:rPr>
            </w:pPr>
            <w:r w:rsidRPr="00184341">
              <w:rPr>
                <w:rFonts w:ascii="Arial" w:eastAsia="Times New Roman" w:hAnsi="Arial" w:cs="Arial" w:hint="eastAsia"/>
                <w:sz w:val="20"/>
                <w:szCs w:val="20"/>
                <w:lang w:val="en-US" w:eastAsia="en-US"/>
              </w:rPr>
              <w:t>≥ 200 mg/dL (11.1 mmol/L)</w:t>
            </w:r>
          </w:p>
        </w:tc>
      </w:tr>
    </w:tbl>
    <w:p w:rsidR="00184341" w:rsidRDefault="00184341" w:rsidP="001D180C">
      <w:pPr>
        <w:pStyle w:val="IEEEParagraph"/>
        <w:ind w:left="357" w:firstLine="0"/>
        <w:rPr>
          <w:rFonts w:ascii="Arial" w:eastAsia="Times New Roman" w:hAnsi="Arial" w:cs="Arial"/>
          <w:lang w:val="en-US" w:eastAsia="en-US"/>
        </w:rPr>
      </w:pPr>
    </w:p>
    <w:p w:rsidR="006A31A9" w:rsidRPr="0001373A" w:rsidRDefault="00184341" w:rsidP="0001373A">
      <w:pPr>
        <w:pStyle w:val="IEEEParagraph"/>
        <w:ind w:left="357" w:firstLine="0"/>
        <w:rPr>
          <w:rFonts w:ascii="Arial" w:hAnsi="Arial" w:cs="Arial"/>
          <w:lang w:val="id-ID"/>
        </w:rPr>
      </w:pPr>
      <w:r>
        <w:rPr>
          <w:rFonts w:ascii="Arial" w:eastAsia="Times New Roman" w:hAnsi="Arial" w:cs="Arial"/>
          <w:lang w:val="en-US" w:eastAsia="en-US"/>
        </w:rPr>
        <w:t>N</w:t>
      </w:r>
      <w:r w:rsidR="000D4E9F">
        <w:rPr>
          <w:rFonts w:ascii="Arial" w:eastAsia="Times New Roman" w:hAnsi="Arial" w:cs="Arial"/>
          <w:lang w:val="en-US" w:eastAsia="en-US"/>
        </w:rPr>
        <w:t xml:space="preserve">ilai normal </w:t>
      </w:r>
      <w:r w:rsidR="00E65A35" w:rsidRPr="006A31A9">
        <w:rPr>
          <w:rFonts w:ascii="Arial" w:eastAsia="Times New Roman" w:hAnsi="Arial" w:cs="Arial"/>
          <w:bCs/>
          <w:lang w:val="en-US" w:eastAsia="en-US"/>
        </w:rPr>
        <w:t>gula darah sewaktu</w:t>
      </w:r>
      <w:r w:rsidR="00E65A35" w:rsidRPr="006A31A9">
        <w:rPr>
          <w:rFonts w:ascii="Arial" w:eastAsia="Times New Roman" w:hAnsi="Arial" w:cs="Arial"/>
          <w:lang w:val="en-US" w:eastAsia="en-US"/>
        </w:rPr>
        <w:t xml:space="preserve"> </w:t>
      </w:r>
      <w:r w:rsidR="006A31A9" w:rsidRPr="006A31A9">
        <w:rPr>
          <w:rFonts w:ascii="Arial" w:eastAsia="Times New Roman" w:hAnsi="Arial" w:cs="Arial"/>
          <w:lang w:val="en-US" w:eastAsia="en-US"/>
        </w:rPr>
        <w:t xml:space="preserve">tidak ada </w:t>
      </w:r>
      <w:r w:rsidR="0001373A">
        <w:rPr>
          <w:rFonts w:ascii="Arial" w:eastAsia="Times New Roman" w:hAnsi="Arial" w:cs="Arial"/>
          <w:lang w:val="en-US" w:eastAsia="en-US"/>
        </w:rPr>
        <w:t xml:space="preserve">yang melebihi </w:t>
      </w:r>
      <w:r w:rsidR="006A31A9" w:rsidRPr="006A31A9">
        <w:rPr>
          <w:rFonts w:ascii="Arial" w:eastAsia="Times New Roman" w:hAnsi="Arial" w:cs="Arial"/>
          <w:lang w:val="en-US" w:eastAsia="en-US"/>
        </w:rPr>
        <w:t xml:space="preserve">≥200 mg/dL. </w:t>
      </w:r>
      <w:r w:rsidR="0001373A">
        <w:rPr>
          <w:rFonts w:ascii="Arial" w:eastAsia="Times New Roman" w:hAnsi="Arial" w:cs="Arial"/>
          <w:lang w:val="en-US" w:eastAsia="en-US"/>
        </w:rPr>
        <w:t>Namun, n</w:t>
      </w:r>
      <w:r w:rsidR="000D4E9F">
        <w:rPr>
          <w:rFonts w:ascii="Arial" w:eastAsia="Times New Roman" w:hAnsi="Arial" w:cs="Arial"/>
          <w:lang w:val="en-US" w:eastAsia="en-US"/>
        </w:rPr>
        <w:t>ilai</w:t>
      </w:r>
      <w:r w:rsidR="00E65A35" w:rsidRPr="006A31A9">
        <w:rPr>
          <w:rFonts w:ascii="Arial" w:eastAsia="Times New Roman" w:hAnsi="Arial" w:cs="Arial"/>
          <w:lang w:val="en-US" w:eastAsia="en-US"/>
        </w:rPr>
        <w:t xml:space="preserve"> ini perlu diwaspadai karena dapat meningkat apabila pola makan tinggi gula sederhana, kurang aktivitas fisik, atau terdapat faktor risiko keluarga.</w:t>
      </w:r>
      <w:r w:rsidR="000D4E9F">
        <w:rPr>
          <w:rFonts w:ascii="Arial" w:eastAsia="Times New Roman" w:hAnsi="Arial" w:cs="Arial"/>
          <w:lang w:val="en-US" w:eastAsia="en-US"/>
        </w:rPr>
        <w:t xml:space="preserve"> </w:t>
      </w:r>
      <w:r w:rsidR="00E65A35" w:rsidRPr="006A31A9">
        <w:rPr>
          <w:rFonts w:ascii="Arial" w:eastAsia="Times New Roman" w:hAnsi="Arial" w:cs="Arial"/>
          <w:lang w:val="en-US" w:eastAsia="en-US"/>
        </w:rPr>
        <w:t>Secara umum,</w:t>
      </w:r>
      <w:r w:rsidR="0001373A">
        <w:rPr>
          <w:rFonts w:ascii="Arial" w:eastAsia="Times New Roman" w:hAnsi="Arial" w:cs="Arial"/>
          <w:lang w:val="en-US" w:eastAsia="en-US"/>
        </w:rPr>
        <w:t xml:space="preserve"> kondisi gula darah siswa</w:t>
      </w:r>
      <w:r w:rsidR="00692CD2">
        <w:rPr>
          <w:rFonts w:ascii="Arial" w:eastAsia="Times New Roman" w:hAnsi="Arial" w:cs="Arial"/>
          <w:lang w:val="en-US" w:eastAsia="en-US"/>
        </w:rPr>
        <w:t xml:space="preserve"> tergolong baik. Hanya s</w:t>
      </w:r>
      <w:r w:rsidR="00E65A35" w:rsidRPr="006A31A9">
        <w:rPr>
          <w:rFonts w:ascii="Arial" w:eastAsia="Times New Roman" w:hAnsi="Arial" w:cs="Arial"/>
          <w:lang w:val="en-US" w:eastAsia="en-US"/>
        </w:rPr>
        <w:t>atu kasus dengan kadar ≥140 mg/dL</w:t>
      </w:r>
      <w:r w:rsidR="00036DAC">
        <w:rPr>
          <w:rFonts w:ascii="Arial" w:eastAsia="Times New Roman" w:hAnsi="Arial" w:cs="Arial"/>
          <w:lang w:val="en-US" w:eastAsia="en-US"/>
        </w:rPr>
        <w:t xml:space="preserve"> (prediabetes)</w:t>
      </w:r>
      <w:r w:rsidR="00E65A35" w:rsidRPr="006A31A9">
        <w:rPr>
          <w:rFonts w:ascii="Arial" w:eastAsia="Times New Roman" w:hAnsi="Arial" w:cs="Arial"/>
          <w:lang w:val="en-US" w:eastAsia="en-US"/>
        </w:rPr>
        <w:t xml:space="preserve"> menunjukkan perlunya edukasi tentang pola makan sehat, pengurangan konsumsi minuman manis, serta peningkatan aktivitas fisik untuk mencegah risiko diabetes di usia dewasa.</w:t>
      </w:r>
      <w:r w:rsidR="000D4E9F">
        <w:rPr>
          <w:rFonts w:ascii="Arial" w:eastAsia="Times New Roman" w:hAnsi="Arial" w:cs="Arial"/>
          <w:lang w:val="en-US" w:eastAsia="en-US"/>
        </w:rPr>
        <w:t xml:space="preserve"> H</w:t>
      </w:r>
      <w:r w:rsidR="006A31A9">
        <w:rPr>
          <w:rFonts w:ascii="Arial" w:eastAsia="Times New Roman" w:hAnsi="Arial" w:cs="Arial"/>
          <w:lang w:val="en-US" w:eastAsia="en-US"/>
        </w:rPr>
        <w:t>as</w:t>
      </w:r>
      <w:r w:rsidR="000D4E9F">
        <w:rPr>
          <w:rFonts w:ascii="Arial" w:eastAsia="Times New Roman" w:hAnsi="Arial" w:cs="Arial"/>
          <w:lang w:val="en-US" w:eastAsia="en-US"/>
        </w:rPr>
        <w:t xml:space="preserve">il Pemeriksaan gula </w:t>
      </w:r>
      <w:r w:rsidR="00692CD2">
        <w:rPr>
          <w:rFonts w:ascii="Arial" w:eastAsia="Times New Roman" w:hAnsi="Arial" w:cs="Arial"/>
          <w:lang w:val="en-US" w:eastAsia="en-US"/>
        </w:rPr>
        <w:t>darah dapat dilihat pada tabel 5</w:t>
      </w:r>
      <w:r w:rsidR="000D4E9F">
        <w:rPr>
          <w:rFonts w:ascii="Arial" w:eastAsia="Times New Roman" w:hAnsi="Arial" w:cs="Arial"/>
          <w:lang w:val="en-US" w:eastAsia="en-US"/>
        </w:rPr>
        <w:t xml:space="preserve">. </w:t>
      </w:r>
    </w:p>
    <w:p w:rsidR="000D4E9F" w:rsidRDefault="000D4E9F" w:rsidP="006A31A9">
      <w:pPr>
        <w:tabs>
          <w:tab w:val="num" w:pos="720"/>
        </w:tabs>
        <w:jc w:val="both"/>
        <w:rPr>
          <w:rFonts w:ascii="Arial" w:eastAsia="Times New Roman" w:hAnsi="Arial" w:cs="Arial"/>
          <w:lang w:val="en-US" w:eastAsia="en-US"/>
        </w:rPr>
      </w:pPr>
    </w:p>
    <w:p w:rsidR="000D4E9F" w:rsidRPr="00E65A35" w:rsidRDefault="00692CD2" w:rsidP="000D4E9F">
      <w:pPr>
        <w:tabs>
          <w:tab w:val="num" w:pos="720"/>
        </w:tabs>
        <w:jc w:val="center"/>
        <w:rPr>
          <w:rFonts w:ascii="Arial" w:eastAsia="Times New Roman" w:hAnsi="Arial" w:cs="Arial"/>
          <w:lang w:val="en-US" w:eastAsia="en-US"/>
        </w:rPr>
      </w:pPr>
      <w:r>
        <w:rPr>
          <w:rFonts w:ascii="Arial" w:eastAsia="Times New Roman" w:hAnsi="Arial" w:cs="Arial"/>
          <w:b/>
          <w:lang w:val="en-US" w:eastAsia="en-US"/>
        </w:rPr>
        <w:t>Tabel 5</w:t>
      </w:r>
      <w:r w:rsidR="000D4E9F" w:rsidRPr="000D4E9F">
        <w:rPr>
          <w:rFonts w:ascii="Arial" w:eastAsia="Times New Roman" w:hAnsi="Arial" w:cs="Arial"/>
          <w:b/>
          <w:lang w:val="en-US" w:eastAsia="en-US"/>
        </w:rPr>
        <w:t>.</w:t>
      </w:r>
      <w:r w:rsidR="000D4E9F">
        <w:rPr>
          <w:rFonts w:ascii="Arial" w:eastAsia="Times New Roman" w:hAnsi="Arial" w:cs="Arial"/>
          <w:lang w:val="en-US" w:eastAsia="en-US"/>
        </w:rPr>
        <w:t xml:space="preserve"> Hasil pemeriksaan gula darah</w:t>
      </w:r>
    </w:p>
    <w:p w:rsidR="000D4E9F" w:rsidRDefault="00E65A35" w:rsidP="000D4E9F">
      <w:pPr>
        <w:jc w:val="center"/>
        <w:rPr>
          <w:lang w:val="id-ID"/>
        </w:rPr>
      </w:pPr>
      <w:r w:rsidRPr="00E65A35">
        <w:rPr>
          <w:noProof/>
          <w:lang w:val="en-US" w:eastAsia="en-US"/>
        </w:rPr>
        <w:drawing>
          <wp:inline distT="0" distB="0" distL="0" distR="0">
            <wp:extent cx="3143700" cy="354434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70623" cy="3574700"/>
                    </a:xfrm>
                    <a:prstGeom prst="rect">
                      <a:avLst/>
                    </a:prstGeom>
                    <a:noFill/>
                    <a:ln>
                      <a:noFill/>
                    </a:ln>
                  </pic:spPr>
                </pic:pic>
              </a:graphicData>
            </a:graphic>
          </wp:inline>
        </w:drawing>
      </w:r>
    </w:p>
    <w:p w:rsidR="0034555E" w:rsidRDefault="0034555E" w:rsidP="000D4E9F">
      <w:pPr>
        <w:rPr>
          <w:lang w:val="en-US"/>
        </w:rPr>
      </w:pPr>
    </w:p>
    <w:p w:rsidR="000D4E9F" w:rsidRPr="0034555E" w:rsidRDefault="0034555E" w:rsidP="000D4E9F">
      <w:pPr>
        <w:rPr>
          <w:rFonts w:ascii="Arial" w:hAnsi="Arial" w:cs="Arial"/>
          <w:b/>
          <w:lang w:val="en-US"/>
        </w:rPr>
      </w:pPr>
      <w:r w:rsidRPr="0034555E">
        <w:rPr>
          <w:rFonts w:ascii="Arial" w:hAnsi="Arial" w:cs="Arial"/>
          <w:b/>
          <w:lang w:val="en-US"/>
        </w:rPr>
        <w:t>Gambaran berat badan remaja</w:t>
      </w:r>
    </w:p>
    <w:p w:rsidR="006A31A9" w:rsidRPr="0034555E" w:rsidRDefault="007E007F" w:rsidP="006A31A9">
      <w:pPr>
        <w:jc w:val="both"/>
        <w:rPr>
          <w:rFonts w:ascii="Arial" w:hAnsi="Arial" w:cs="Arial"/>
          <w:lang w:val="id-ID"/>
        </w:rPr>
      </w:pPr>
      <w:r w:rsidRPr="0034555E">
        <w:rPr>
          <w:rFonts w:ascii="Arial" w:hAnsi="Arial" w:cs="Arial"/>
          <w:lang w:val="en-US"/>
        </w:rPr>
        <w:t xml:space="preserve">       </w:t>
      </w:r>
      <w:r w:rsidR="00DC6F3B" w:rsidRPr="0034555E">
        <w:rPr>
          <w:rFonts w:ascii="Arial" w:hAnsi="Arial" w:cs="Arial"/>
          <w:lang w:val="en-US"/>
        </w:rPr>
        <w:t>Jumlah siswa yang melakukan pengukuran berat badan  sebanyak 36 siswa berusia</w:t>
      </w:r>
      <w:r w:rsidR="006A31A9" w:rsidRPr="0034555E">
        <w:rPr>
          <w:rFonts w:ascii="Arial" w:hAnsi="Arial" w:cs="Arial"/>
          <w:lang w:val="id-ID"/>
        </w:rPr>
        <w:t xml:space="preserve"> usia 15–19 tahun</w:t>
      </w:r>
      <w:r w:rsidR="00DC6F3B" w:rsidRPr="0034555E">
        <w:rPr>
          <w:rFonts w:ascii="Arial" w:hAnsi="Arial" w:cs="Arial"/>
          <w:lang w:val="en-US"/>
        </w:rPr>
        <w:t xml:space="preserve">. Nilai </w:t>
      </w:r>
      <w:r w:rsidR="006A31A9" w:rsidRPr="0034555E">
        <w:rPr>
          <w:rFonts w:ascii="Arial" w:hAnsi="Arial" w:cs="Arial"/>
          <w:lang w:val="en-US"/>
        </w:rPr>
        <w:t>b</w:t>
      </w:r>
      <w:r w:rsidR="006A31A9" w:rsidRPr="0034555E">
        <w:rPr>
          <w:rFonts w:ascii="Arial" w:hAnsi="Arial" w:cs="Arial"/>
          <w:lang w:val="id-ID"/>
        </w:rPr>
        <w:t>erat badan terendah 37 kg</w:t>
      </w:r>
      <w:r w:rsidR="00DC6F3B" w:rsidRPr="0034555E">
        <w:rPr>
          <w:rFonts w:ascii="Arial" w:hAnsi="Arial" w:cs="Arial"/>
          <w:lang w:val="en-US"/>
        </w:rPr>
        <w:t xml:space="preserve"> sedangkan</w:t>
      </w:r>
      <w:r w:rsidR="006A31A9" w:rsidRPr="0034555E">
        <w:rPr>
          <w:rFonts w:ascii="Arial" w:hAnsi="Arial" w:cs="Arial"/>
          <w:lang w:val="en-US"/>
        </w:rPr>
        <w:t xml:space="preserve"> </w:t>
      </w:r>
      <w:r w:rsidR="006A31A9" w:rsidRPr="0034555E">
        <w:rPr>
          <w:rFonts w:ascii="Arial" w:hAnsi="Arial" w:cs="Arial"/>
          <w:lang w:val="id-ID"/>
        </w:rPr>
        <w:t>tertinggi 93 kg</w:t>
      </w:r>
      <w:r w:rsidR="006A31A9" w:rsidRPr="0034555E">
        <w:rPr>
          <w:rFonts w:ascii="Arial" w:hAnsi="Arial" w:cs="Arial"/>
          <w:lang w:val="en-US"/>
        </w:rPr>
        <w:t xml:space="preserve">. </w:t>
      </w:r>
      <w:r w:rsidR="00DC6F3B" w:rsidRPr="0034555E">
        <w:rPr>
          <w:rFonts w:ascii="Arial" w:hAnsi="Arial" w:cs="Arial"/>
          <w:lang w:val="id-ID"/>
        </w:rPr>
        <w:t>Rata-rata</w:t>
      </w:r>
      <w:r w:rsidR="006A31A9" w:rsidRPr="0034555E">
        <w:rPr>
          <w:rFonts w:ascii="Arial" w:hAnsi="Arial" w:cs="Arial"/>
          <w:lang w:val="id-ID"/>
        </w:rPr>
        <w:t xml:space="preserve"> sebagian besar siswa memiliki berat badan pada kisaran 45–60 kg</w:t>
      </w:r>
      <w:r w:rsidR="00DC6F3B" w:rsidRPr="0034555E">
        <w:rPr>
          <w:rFonts w:ascii="Arial" w:hAnsi="Arial" w:cs="Arial"/>
          <w:lang w:val="en-US"/>
        </w:rPr>
        <w:t>. R</w:t>
      </w:r>
      <w:r w:rsidR="006A31A9" w:rsidRPr="0034555E">
        <w:rPr>
          <w:rFonts w:ascii="Arial" w:hAnsi="Arial" w:cs="Arial"/>
          <w:lang w:val="id-ID"/>
        </w:rPr>
        <w:t xml:space="preserve">entang </w:t>
      </w:r>
      <w:r w:rsidR="00DC6F3B" w:rsidRPr="0034555E">
        <w:rPr>
          <w:rFonts w:ascii="Arial" w:hAnsi="Arial" w:cs="Arial"/>
          <w:lang w:val="en-US"/>
        </w:rPr>
        <w:t xml:space="preserve">ini wajar bagi </w:t>
      </w:r>
      <w:r w:rsidR="006A31A9" w:rsidRPr="0034555E">
        <w:rPr>
          <w:rFonts w:ascii="Arial" w:hAnsi="Arial" w:cs="Arial"/>
          <w:lang w:val="id-ID"/>
        </w:rPr>
        <w:t xml:space="preserve">remaja usia sekolah menengah. </w:t>
      </w:r>
      <w:r w:rsidR="006A31A9" w:rsidRPr="0034555E">
        <w:rPr>
          <w:rFonts w:ascii="Arial" w:hAnsi="Arial" w:cs="Arial"/>
          <w:lang w:val="en-US"/>
        </w:rPr>
        <w:t xml:space="preserve">Satu </w:t>
      </w:r>
      <w:r w:rsidR="006A31A9" w:rsidRPr="0034555E">
        <w:rPr>
          <w:rFonts w:ascii="Arial" w:hAnsi="Arial" w:cs="Arial"/>
          <w:lang w:val="id-ID"/>
        </w:rPr>
        <w:t>siswa dengan berat b</w:t>
      </w:r>
      <w:r w:rsidR="00DC6F3B" w:rsidRPr="0034555E">
        <w:rPr>
          <w:rFonts w:ascii="Arial" w:hAnsi="Arial" w:cs="Arial"/>
          <w:lang w:val="id-ID"/>
        </w:rPr>
        <w:t xml:space="preserve">adan sangat tinggi (93 kg) </w:t>
      </w:r>
      <w:r w:rsidR="006A31A9" w:rsidRPr="0034555E">
        <w:rPr>
          <w:rFonts w:ascii="Arial" w:hAnsi="Arial" w:cs="Arial"/>
          <w:lang w:val="id-ID"/>
        </w:rPr>
        <w:t xml:space="preserve">perlu mendapat perhatian lebih </w:t>
      </w:r>
      <w:r w:rsidR="006A31A9" w:rsidRPr="0034555E">
        <w:rPr>
          <w:rFonts w:ascii="Arial" w:hAnsi="Arial" w:cs="Arial"/>
          <w:lang w:val="id-ID"/>
        </w:rPr>
        <w:lastRenderedPageBreak/>
        <w:t xml:space="preserve">lanjut karena berisiko </w:t>
      </w:r>
      <w:r w:rsidR="006A31A9" w:rsidRPr="0034555E">
        <w:rPr>
          <w:rFonts w:ascii="Arial" w:hAnsi="Arial" w:cs="Arial"/>
          <w:i/>
          <w:lang w:val="id-ID"/>
        </w:rPr>
        <w:t>overweight/</w:t>
      </w:r>
      <w:r w:rsidR="006A31A9" w:rsidRPr="0034555E">
        <w:rPr>
          <w:rFonts w:ascii="Arial" w:hAnsi="Arial" w:cs="Arial"/>
          <w:lang w:val="id-ID"/>
        </w:rPr>
        <w:t xml:space="preserve">obesitas. Beberapa siswa dengan berat badan relatif rendah (37–39 kg), yang berpotensi </w:t>
      </w:r>
      <w:r w:rsidR="006A31A9" w:rsidRPr="0034555E">
        <w:rPr>
          <w:rFonts w:ascii="Arial" w:hAnsi="Arial" w:cs="Arial"/>
          <w:i/>
          <w:lang w:val="id-ID"/>
        </w:rPr>
        <w:t>underweight</w:t>
      </w:r>
      <w:r w:rsidR="006A31A9" w:rsidRPr="0034555E">
        <w:rPr>
          <w:rFonts w:ascii="Arial" w:hAnsi="Arial" w:cs="Arial"/>
          <w:lang w:val="id-ID"/>
        </w:rPr>
        <w:t xml:space="preserve"> jika tidak sesuai dengan tinggi badan dan usia.</w:t>
      </w:r>
    </w:p>
    <w:p w:rsidR="006A31A9" w:rsidRPr="0034555E" w:rsidRDefault="006A31A9" w:rsidP="006A31A9">
      <w:pPr>
        <w:jc w:val="both"/>
        <w:rPr>
          <w:rFonts w:ascii="Arial" w:hAnsi="Arial" w:cs="Arial"/>
          <w:lang w:val="id-ID"/>
        </w:rPr>
      </w:pPr>
      <w:r w:rsidRPr="0034555E">
        <w:rPr>
          <w:rFonts w:ascii="Arial" w:hAnsi="Arial" w:cs="Arial"/>
          <w:lang w:val="en-US"/>
        </w:rPr>
        <w:t xml:space="preserve">       </w:t>
      </w:r>
      <w:r w:rsidRPr="0034555E">
        <w:rPr>
          <w:rFonts w:ascii="Arial" w:hAnsi="Arial" w:cs="Arial"/>
          <w:lang w:val="id-ID"/>
        </w:rPr>
        <w:t>Secara umum, distribusi berat badan siswa cukup bervariasi. Untuk menentukan status gizi secara akurat, diperlukan data tinggi badan agar dapat dihitung Indeks Massa Tubuh (IMT) dan dibandingkan dengan standar IMT menurut usia (remaja).</w:t>
      </w:r>
      <w:r w:rsidRPr="0034555E">
        <w:rPr>
          <w:rFonts w:ascii="Arial" w:hAnsi="Arial" w:cs="Arial"/>
          <w:lang w:val="en-US"/>
        </w:rPr>
        <w:t xml:space="preserve"> </w:t>
      </w:r>
      <w:r w:rsidRPr="0034555E">
        <w:rPr>
          <w:rFonts w:ascii="Arial" w:hAnsi="Arial" w:cs="Arial"/>
          <w:lang w:val="id-ID"/>
        </w:rPr>
        <w:t>Tanpa data tinggi badan, analisis masih bersifat deskriptif dan belum dapat menyimpulkan status gizi secara pasti.</w:t>
      </w:r>
    </w:p>
    <w:p w:rsidR="00DC6F3B" w:rsidRPr="0034555E" w:rsidRDefault="006A31A9" w:rsidP="006A31A9">
      <w:pPr>
        <w:jc w:val="both"/>
        <w:rPr>
          <w:rFonts w:ascii="Arial" w:hAnsi="Arial" w:cs="Arial"/>
          <w:lang w:val="en-US"/>
        </w:rPr>
      </w:pPr>
      <w:r w:rsidRPr="0034555E">
        <w:rPr>
          <w:rFonts w:ascii="Arial" w:hAnsi="Arial" w:cs="Arial"/>
          <w:lang w:val="en-US"/>
        </w:rPr>
        <w:t xml:space="preserve">       </w:t>
      </w:r>
      <w:r w:rsidRPr="0034555E">
        <w:rPr>
          <w:rFonts w:ascii="Arial" w:hAnsi="Arial" w:cs="Arial"/>
          <w:lang w:val="id-ID"/>
        </w:rPr>
        <w:t>Mayoritas siswa memiliki berat badan dalam kisaran normal remaja, namun terdapat indikasi potensi gizi lebih dan gizi kurang pada sebagian kecil siswa. Oleh karena itu, disarankan dilakukan pengukuran tinggi badan dan perhitungan IMT untuk menentukan status gizi secara lebih akurat.</w:t>
      </w:r>
      <w:r w:rsidR="00DC6F3B" w:rsidRPr="0034555E">
        <w:rPr>
          <w:rFonts w:ascii="Arial" w:hAnsi="Arial" w:cs="Arial"/>
          <w:lang w:val="en-US"/>
        </w:rPr>
        <w:t xml:space="preserve"> </w:t>
      </w:r>
    </w:p>
    <w:p w:rsidR="00DC6F3B" w:rsidRDefault="00DC6F3B" w:rsidP="00DC6F3B">
      <w:pPr>
        <w:ind w:left="2160" w:firstLine="720"/>
        <w:jc w:val="both"/>
        <w:rPr>
          <w:lang w:val="en-US"/>
        </w:rPr>
      </w:pPr>
    </w:p>
    <w:p w:rsidR="00E65A35" w:rsidRPr="0034555E" w:rsidRDefault="0034555E" w:rsidP="0034555E">
      <w:pPr>
        <w:jc w:val="both"/>
        <w:rPr>
          <w:rFonts w:ascii="Arial" w:hAnsi="Arial" w:cs="Arial"/>
          <w:lang w:val="en-US"/>
        </w:rPr>
      </w:pPr>
      <w:r>
        <w:rPr>
          <w:rFonts w:ascii="Arial" w:hAnsi="Arial" w:cs="Arial"/>
          <w:b/>
          <w:lang w:val="en-US"/>
        </w:rPr>
        <w:t xml:space="preserve">                             </w:t>
      </w:r>
      <w:r w:rsidR="00DC6F3B" w:rsidRPr="0034555E">
        <w:rPr>
          <w:rFonts w:ascii="Arial" w:hAnsi="Arial" w:cs="Arial"/>
          <w:b/>
          <w:lang w:val="en-US"/>
        </w:rPr>
        <w:t>Tabel 3</w:t>
      </w:r>
      <w:r>
        <w:rPr>
          <w:rFonts w:ascii="Arial" w:hAnsi="Arial" w:cs="Arial"/>
          <w:b/>
          <w:lang w:val="en-US"/>
        </w:rPr>
        <w:t>.</w:t>
      </w:r>
      <w:r>
        <w:rPr>
          <w:rFonts w:ascii="Arial" w:hAnsi="Arial" w:cs="Arial"/>
          <w:lang w:val="en-US"/>
        </w:rPr>
        <w:t xml:space="preserve"> Hasil Pengukuran Berat B</w:t>
      </w:r>
      <w:r w:rsidR="00DC6F3B" w:rsidRPr="0034555E">
        <w:rPr>
          <w:rFonts w:ascii="Arial" w:hAnsi="Arial" w:cs="Arial"/>
          <w:lang w:val="en-US"/>
        </w:rPr>
        <w:t>adan</w:t>
      </w:r>
    </w:p>
    <w:p w:rsidR="00E65A35" w:rsidRDefault="006A31A9" w:rsidP="00DC6F3B">
      <w:pPr>
        <w:jc w:val="center"/>
        <w:rPr>
          <w:lang w:val="id-ID"/>
        </w:rPr>
      </w:pPr>
      <w:r w:rsidRPr="006A31A9">
        <w:rPr>
          <w:noProof/>
          <w:lang w:val="en-US" w:eastAsia="en-US"/>
        </w:rPr>
        <w:drawing>
          <wp:inline distT="0" distB="0" distL="0" distR="0">
            <wp:extent cx="2906583" cy="554598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08663" cy="5549955"/>
                    </a:xfrm>
                    <a:prstGeom prst="rect">
                      <a:avLst/>
                    </a:prstGeom>
                    <a:noFill/>
                    <a:ln>
                      <a:noFill/>
                    </a:ln>
                  </pic:spPr>
                </pic:pic>
              </a:graphicData>
            </a:graphic>
          </wp:inline>
        </w:drawing>
      </w:r>
    </w:p>
    <w:p w:rsidR="006A31A9" w:rsidRDefault="006A31A9" w:rsidP="00EC3F6C">
      <w:pPr>
        <w:jc w:val="both"/>
        <w:rPr>
          <w:lang w:val="id-ID"/>
        </w:rPr>
      </w:pPr>
    </w:p>
    <w:p w:rsidR="006A31A9" w:rsidRDefault="00CC6272" w:rsidP="00EC3F6C">
      <w:pPr>
        <w:jc w:val="both"/>
        <w:rPr>
          <w:rFonts w:ascii="Arial" w:hAnsi="Arial" w:cs="Arial"/>
        </w:rPr>
      </w:pPr>
      <w:r>
        <w:rPr>
          <w:rFonts w:ascii="Arial" w:hAnsi="Arial" w:cs="Arial"/>
        </w:rPr>
        <w:t xml:space="preserve">       Tidak semua siswa mengikuti </w:t>
      </w:r>
      <w:r w:rsidR="006A31A9" w:rsidRPr="00CC6272">
        <w:rPr>
          <w:rFonts w:ascii="Arial" w:hAnsi="Arial" w:cs="Arial"/>
        </w:rPr>
        <w:t xml:space="preserve">pengukuran berat badan dan gula darah karena beberapa kendala, seperti keterbatasan waktu dan alat pemeriksaan, serta adanya siswa yang belum mendapat izin orang tua atau kurang bersedia menjalani pemeriksaan (terutama gula darah yang </w:t>
      </w:r>
      <w:r w:rsidR="00895D64" w:rsidRPr="00CC6272">
        <w:rPr>
          <w:rFonts w:ascii="Arial" w:hAnsi="Arial" w:cs="Arial"/>
        </w:rPr>
        <w:t xml:space="preserve"> takut penusukan jarum</w:t>
      </w:r>
      <w:r w:rsidR="006A31A9" w:rsidRPr="00CC6272">
        <w:rPr>
          <w:rFonts w:ascii="Arial" w:hAnsi="Arial" w:cs="Arial"/>
        </w:rPr>
        <w:t xml:space="preserve">). Hal tersebut menyebabkan jumlah data yang diperoleh tidak sama pada setiap </w:t>
      </w:r>
      <w:r w:rsidR="00895D64" w:rsidRPr="00CC6272">
        <w:rPr>
          <w:rFonts w:ascii="Arial" w:hAnsi="Arial" w:cs="Arial"/>
        </w:rPr>
        <w:t>pemeriksaan</w:t>
      </w:r>
      <w:r w:rsidR="006A31A9" w:rsidRPr="00CC6272">
        <w:rPr>
          <w:rFonts w:ascii="Arial" w:hAnsi="Arial" w:cs="Arial"/>
        </w:rPr>
        <w:t>.</w:t>
      </w:r>
    </w:p>
    <w:p w:rsidR="00895D64" w:rsidRPr="000E5E3D" w:rsidRDefault="00895D64" w:rsidP="00895D64">
      <w:pPr>
        <w:jc w:val="both"/>
        <w:rPr>
          <w:rFonts w:ascii="Arial" w:hAnsi="Arial" w:cs="Arial"/>
          <w:lang w:val="id-ID"/>
        </w:rPr>
      </w:pPr>
      <w:r w:rsidRPr="00CC6272">
        <w:rPr>
          <w:rFonts w:ascii="Arial" w:hAnsi="Arial" w:cs="Arial"/>
          <w:lang w:val="en-US"/>
        </w:rPr>
        <w:lastRenderedPageBreak/>
        <w:t xml:space="preserve">       </w:t>
      </w:r>
      <w:r w:rsidRPr="00CC6272">
        <w:rPr>
          <w:rFonts w:ascii="Arial" w:hAnsi="Arial" w:cs="Arial"/>
          <w:lang w:val="id-ID"/>
        </w:rPr>
        <w:t xml:space="preserve">Secara umum, hasil skrining kesehatan remaja menunjukkan bahwa sebagian besar siswa berada dalam kondisi relatif normal, namun ditemukan beberapa faktor risiko yang perlu mendapat perhatian. Pada pemeriksaan tekanan darah, mayoritas berada pada kategori normal, tetapi terdapat proporsi cukup besar yang </w:t>
      </w:r>
      <w:r w:rsidRPr="000E5E3D">
        <w:rPr>
          <w:rFonts w:ascii="Arial" w:hAnsi="Arial" w:cs="Arial"/>
          <w:lang w:val="id-ID"/>
        </w:rPr>
        <w:t>masuk kategori prahipertensi hingga hipertensi tahap 1 dan 2. Pada pemeriksaan gula darah, hampir seluruh siswa berada dalam batas normal, meskipun terdapat satu siswa dengan nilai di atas batas normal yang memerlukan pemantauan. Sementara itu, pada pemeriksaan berat badan, sebagian besar berada pada kisaran wajar untuk remaja, namun ditemukan beberapa siswa dengan berat badan sangat tinggi maupun relatif rendah yang berpotensi mengarah pada masalah status gizi.</w:t>
      </w:r>
    </w:p>
    <w:p w:rsidR="00895D64" w:rsidRDefault="00895D64" w:rsidP="00895D64">
      <w:pPr>
        <w:jc w:val="both"/>
        <w:rPr>
          <w:rFonts w:ascii="Arial" w:hAnsi="Arial" w:cs="Arial"/>
          <w:lang w:val="id-ID"/>
        </w:rPr>
      </w:pPr>
      <w:r w:rsidRPr="000E5E3D">
        <w:rPr>
          <w:rFonts w:ascii="Arial" w:hAnsi="Arial" w:cs="Arial"/>
          <w:lang w:val="en-US"/>
        </w:rPr>
        <w:t xml:space="preserve">       </w:t>
      </w:r>
      <w:r w:rsidRPr="000E5E3D">
        <w:rPr>
          <w:rFonts w:ascii="Arial" w:hAnsi="Arial" w:cs="Arial"/>
          <w:lang w:val="id-ID"/>
        </w:rPr>
        <w:t>Secara keseluruhan, hasil ini menunjukkan bahwa kondisi kesehatan remaja secara umum cukup baik, tetapi sudah terdapat indikasi dini faktor risiko penyakit tidak menular sehingga diperlukan edukasi kesehatan, pemantauan berkala, serta intervensi promotif dan preventif di lingkungan sekolah.</w:t>
      </w:r>
    </w:p>
    <w:p w:rsidR="000E5E3D" w:rsidRPr="000E5E3D" w:rsidRDefault="000E5E3D" w:rsidP="00895D64">
      <w:pPr>
        <w:jc w:val="both"/>
        <w:rPr>
          <w:rFonts w:ascii="Arial" w:hAnsi="Arial" w:cs="Arial"/>
          <w:lang w:val="id-ID"/>
        </w:rPr>
      </w:pPr>
    </w:p>
    <w:p w:rsidR="000E5E3D" w:rsidRDefault="00822D86" w:rsidP="00EC3F6C">
      <w:pPr>
        <w:jc w:val="both"/>
        <w:rPr>
          <w:noProof/>
          <w:lang w:val="en-US" w:eastAsia="en-US"/>
        </w:rPr>
      </w:pPr>
      <w:r>
        <w:rPr>
          <w:lang w:val="en-US"/>
        </w:rPr>
        <w:t xml:space="preserve">    </w:t>
      </w:r>
      <w:r w:rsidR="000E5E3D">
        <w:rPr>
          <w:noProof/>
          <w:lang w:val="en-US" w:eastAsia="en-US"/>
        </w:rPr>
        <w:t xml:space="preserve">          </w:t>
      </w:r>
      <w:r>
        <w:rPr>
          <w:noProof/>
          <w:lang w:val="en-US" w:eastAsia="en-US"/>
        </w:rPr>
        <w:drawing>
          <wp:inline distT="0" distB="0" distL="0" distR="0">
            <wp:extent cx="1515745" cy="13824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6-02-21 at 07.00.45.jpeg"/>
                    <pic:cNvPicPr/>
                  </pic:nvPicPr>
                  <pic:blipFill rotWithShape="1">
                    <a:blip r:embed="rId18" cstate="print">
                      <a:extLst>
                        <a:ext uri="{28A0092B-C50C-407E-A947-70E740481C1C}">
                          <a14:useLocalDpi xmlns:a14="http://schemas.microsoft.com/office/drawing/2010/main" val="0"/>
                        </a:ext>
                      </a:extLst>
                    </a:blip>
                    <a:srcRect l="31734" r="9622"/>
                    <a:stretch/>
                  </pic:blipFill>
                  <pic:spPr bwMode="auto">
                    <a:xfrm>
                      <a:off x="0" y="0"/>
                      <a:ext cx="1535907" cy="1400875"/>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extent cx="1633446" cy="13874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6-02-21 at 07.00.46.jpeg"/>
                    <pic:cNvPicPr/>
                  </pic:nvPicPr>
                  <pic:blipFill rotWithShape="1">
                    <a:blip r:embed="rId19" cstate="print">
                      <a:extLst>
                        <a:ext uri="{28A0092B-C50C-407E-A947-70E740481C1C}">
                          <a14:useLocalDpi xmlns:a14="http://schemas.microsoft.com/office/drawing/2010/main" val="0"/>
                        </a:ext>
                      </a:extLst>
                    </a:blip>
                    <a:srcRect r="16886"/>
                    <a:stretch/>
                  </pic:blipFill>
                  <pic:spPr bwMode="auto">
                    <a:xfrm>
                      <a:off x="0" y="0"/>
                      <a:ext cx="1683965" cy="1430366"/>
                    </a:xfrm>
                    <a:prstGeom prst="rect">
                      <a:avLst/>
                    </a:prstGeom>
                    <a:ln>
                      <a:noFill/>
                    </a:ln>
                    <a:extLst>
                      <a:ext uri="{53640926-AAD7-44D8-BBD7-CCE9431645EC}">
                        <a14:shadowObscured xmlns:a14="http://schemas.microsoft.com/office/drawing/2010/main"/>
                      </a:ext>
                    </a:extLst>
                  </pic:spPr>
                </pic:pic>
              </a:graphicData>
            </a:graphic>
          </wp:inline>
        </w:drawing>
      </w:r>
      <w:r w:rsidR="00675523">
        <w:rPr>
          <w:noProof/>
          <w:lang w:val="en-US" w:eastAsia="en-US"/>
        </w:rPr>
        <w:drawing>
          <wp:inline distT="0" distB="0" distL="0" distR="0" wp14:anchorId="7302AA94">
            <wp:extent cx="1510235" cy="13836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18018" cy="1390796"/>
                    </a:xfrm>
                    <a:prstGeom prst="rect">
                      <a:avLst/>
                    </a:prstGeom>
                    <a:noFill/>
                  </pic:spPr>
                </pic:pic>
              </a:graphicData>
            </a:graphic>
          </wp:inline>
        </w:drawing>
      </w:r>
    </w:p>
    <w:p w:rsidR="000E5E3D" w:rsidRPr="000E5E3D" w:rsidRDefault="000E5E3D" w:rsidP="000E5E3D">
      <w:pPr>
        <w:jc w:val="center"/>
        <w:rPr>
          <w:rFonts w:ascii="Arial" w:hAnsi="Arial" w:cs="Arial"/>
          <w:noProof/>
          <w:lang w:val="en-US" w:eastAsia="en-US"/>
        </w:rPr>
      </w:pPr>
      <w:r w:rsidRPr="000219FF">
        <w:rPr>
          <w:rFonts w:ascii="Arial" w:hAnsi="Arial" w:cs="Arial"/>
          <w:b/>
          <w:noProof/>
          <w:lang w:val="en-US" w:eastAsia="en-US"/>
        </w:rPr>
        <w:t>Gambar 1.</w:t>
      </w:r>
      <w:r w:rsidRPr="000E5E3D">
        <w:rPr>
          <w:rFonts w:ascii="Arial" w:hAnsi="Arial" w:cs="Arial"/>
          <w:noProof/>
          <w:lang w:val="en-US" w:eastAsia="en-US"/>
        </w:rPr>
        <w:t xml:space="preserve"> </w:t>
      </w:r>
      <w:r w:rsidR="00832C46">
        <w:rPr>
          <w:rFonts w:ascii="Arial" w:hAnsi="Arial" w:cs="Arial"/>
          <w:noProof/>
          <w:lang w:val="en-US" w:eastAsia="en-US"/>
        </w:rPr>
        <w:t xml:space="preserve"> T</w:t>
      </w:r>
      <w:r w:rsidRPr="000E5E3D">
        <w:rPr>
          <w:rFonts w:ascii="Arial" w:hAnsi="Arial" w:cs="Arial"/>
          <w:noProof/>
          <w:lang w:val="en-US" w:eastAsia="en-US"/>
        </w:rPr>
        <w:t>empat pemeriksaan kesehatan</w:t>
      </w:r>
    </w:p>
    <w:p w:rsidR="000E5E3D" w:rsidRDefault="000E5E3D" w:rsidP="00675523">
      <w:pPr>
        <w:rPr>
          <w:noProof/>
          <w:lang w:val="en-US" w:eastAsia="en-US"/>
        </w:rPr>
      </w:pPr>
    </w:p>
    <w:p w:rsidR="000E5E3D" w:rsidRDefault="00822D86" w:rsidP="000E5E3D">
      <w:pPr>
        <w:ind w:left="1440" w:hanging="589"/>
        <w:jc w:val="both"/>
        <w:rPr>
          <w:lang w:val="id-ID"/>
        </w:rPr>
      </w:pPr>
      <w:r>
        <w:rPr>
          <w:noProof/>
          <w:lang w:val="en-US" w:eastAsia="en-US"/>
        </w:rPr>
        <w:drawing>
          <wp:inline distT="0" distB="0" distL="0" distR="0">
            <wp:extent cx="1740309" cy="12394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6-02-21 at 07.00.48(1).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73694" cy="1263222"/>
                    </a:xfrm>
                    <a:prstGeom prst="rect">
                      <a:avLst/>
                    </a:prstGeom>
                  </pic:spPr>
                </pic:pic>
              </a:graphicData>
            </a:graphic>
          </wp:inline>
        </w:drawing>
      </w:r>
      <w:r w:rsidR="00675523">
        <w:rPr>
          <w:noProof/>
          <w:lang w:val="en-US" w:eastAsia="en-US"/>
        </w:rPr>
        <w:drawing>
          <wp:inline distT="0" distB="0" distL="0" distR="0" wp14:anchorId="59E2B584">
            <wp:extent cx="1451241" cy="12444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6901" cy="1274983"/>
                    </a:xfrm>
                    <a:prstGeom prst="rect">
                      <a:avLst/>
                    </a:prstGeom>
                    <a:noFill/>
                  </pic:spPr>
                </pic:pic>
              </a:graphicData>
            </a:graphic>
          </wp:inline>
        </w:drawing>
      </w:r>
      <w:r>
        <w:rPr>
          <w:noProof/>
          <w:lang w:val="en-US" w:eastAsia="en-US"/>
        </w:rPr>
        <w:drawing>
          <wp:inline distT="0" distB="0" distL="0" distR="0">
            <wp:extent cx="1504253" cy="124707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6-02-21 at 07.00.48.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59446" cy="1292834"/>
                    </a:xfrm>
                    <a:prstGeom prst="rect">
                      <a:avLst/>
                    </a:prstGeom>
                  </pic:spPr>
                </pic:pic>
              </a:graphicData>
            </a:graphic>
          </wp:inline>
        </w:drawing>
      </w:r>
    </w:p>
    <w:p w:rsidR="000E5E3D" w:rsidRPr="000E5E3D" w:rsidRDefault="000E5E3D" w:rsidP="000E5E3D">
      <w:pPr>
        <w:ind w:left="1440" w:hanging="589"/>
        <w:jc w:val="center"/>
        <w:rPr>
          <w:rFonts w:ascii="Arial" w:hAnsi="Arial" w:cs="Arial"/>
          <w:lang w:val="id-ID"/>
        </w:rPr>
      </w:pPr>
      <w:r w:rsidRPr="000219FF">
        <w:rPr>
          <w:rFonts w:ascii="Arial" w:hAnsi="Arial" w:cs="Arial"/>
          <w:b/>
          <w:lang w:val="id-ID"/>
        </w:rPr>
        <w:t>Gambar 2.</w:t>
      </w:r>
      <w:r w:rsidRPr="000E5E3D">
        <w:rPr>
          <w:rFonts w:ascii="Arial" w:hAnsi="Arial" w:cs="Arial"/>
          <w:lang w:val="id-ID"/>
        </w:rPr>
        <w:t xml:space="preserve">  </w:t>
      </w:r>
      <w:r w:rsidRPr="000E5E3D">
        <w:rPr>
          <w:rFonts w:ascii="Arial" w:hAnsi="Arial" w:cs="Arial"/>
          <w:lang w:val="en-US"/>
        </w:rPr>
        <w:t xml:space="preserve">Proses </w:t>
      </w:r>
      <w:r w:rsidRPr="000E5E3D">
        <w:rPr>
          <w:rFonts w:ascii="Arial" w:hAnsi="Arial" w:cs="Arial"/>
          <w:lang w:val="id-ID"/>
        </w:rPr>
        <w:t xml:space="preserve">pemeriksaan </w:t>
      </w:r>
      <w:r w:rsidR="0001373A">
        <w:rPr>
          <w:rFonts w:ascii="Arial" w:hAnsi="Arial" w:cs="Arial"/>
          <w:lang w:val="en-US"/>
        </w:rPr>
        <w:t>Tekanan darah</w:t>
      </w:r>
    </w:p>
    <w:p w:rsidR="000E5E3D" w:rsidRPr="000E5E3D" w:rsidRDefault="000E5E3D" w:rsidP="000E5E3D">
      <w:pPr>
        <w:ind w:left="1440" w:hanging="589"/>
        <w:jc w:val="center"/>
        <w:rPr>
          <w:rFonts w:ascii="Arial" w:hAnsi="Arial" w:cs="Arial"/>
          <w:lang w:val="id-ID"/>
        </w:rPr>
      </w:pPr>
    </w:p>
    <w:p w:rsidR="00C924E6" w:rsidRDefault="000219FF" w:rsidP="000E5E3D">
      <w:pPr>
        <w:jc w:val="both"/>
        <w:rPr>
          <w:lang w:val="id-ID"/>
        </w:rPr>
      </w:pPr>
      <w:r>
        <w:rPr>
          <w:lang w:val="en-US"/>
        </w:rPr>
        <w:t xml:space="preserve">              </w:t>
      </w:r>
      <w:r w:rsidR="00822D86">
        <w:rPr>
          <w:noProof/>
          <w:lang w:val="en-US" w:eastAsia="en-US"/>
        </w:rPr>
        <w:drawing>
          <wp:inline distT="0" distB="0" distL="0" distR="0">
            <wp:extent cx="1787505" cy="124841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hatsApp Image 2026-02-21 at 07.00.49(3).jpeg"/>
                    <pic:cNvPicPr/>
                  </pic:nvPicPr>
                  <pic:blipFill rotWithShape="1">
                    <a:blip r:embed="rId24" cstate="print">
                      <a:extLst>
                        <a:ext uri="{28A0092B-C50C-407E-A947-70E740481C1C}">
                          <a14:useLocalDpi xmlns:a14="http://schemas.microsoft.com/office/drawing/2010/main" val="0"/>
                        </a:ext>
                      </a:extLst>
                    </a:blip>
                    <a:srcRect r="20534"/>
                    <a:stretch/>
                  </pic:blipFill>
                  <pic:spPr bwMode="auto">
                    <a:xfrm>
                      <a:off x="0" y="0"/>
                      <a:ext cx="1809369" cy="1263680"/>
                    </a:xfrm>
                    <a:prstGeom prst="rect">
                      <a:avLst/>
                    </a:prstGeom>
                    <a:ln>
                      <a:noFill/>
                    </a:ln>
                    <a:extLst>
                      <a:ext uri="{53640926-AAD7-44D8-BBD7-CCE9431645EC}">
                        <a14:shadowObscured xmlns:a14="http://schemas.microsoft.com/office/drawing/2010/main"/>
                      </a:ext>
                    </a:extLst>
                  </pic:spPr>
                </pic:pic>
              </a:graphicData>
            </a:graphic>
          </wp:inline>
        </w:drawing>
      </w:r>
      <w:r w:rsidR="00822D86">
        <w:rPr>
          <w:noProof/>
          <w:lang w:val="en-US" w:eastAsia="en-US"/>
        </w:rPr>
        <w:drawing>
          <wp:inline distT="0" distB="0" distL="0" distR="0">
            <wp:extent cx="1362751" cy="124714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hatsApp Image 2026-02-21 at 07.00.49.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87297" cy="1269603"/>
                    </a:xfrm>
                    <a:prstGeom prst="rect">
                      <a:avLst/>
                    </a:prstGeom>
                  </pic:spPr>
                </pic:pic>
              </a:graphicData>
            </a:graphic>
          </wp:inline>
        </w:drawing>
      </w:r>
      <w:r w:rsidR="00675523">
        <w:rPr>
          <w:noProof/>
          <w:lang w:val="en-US" w:eastAsia="en-US"/>
        </w:rPr>
        <w:drawing>
          <wp:inline distT="0" distB="0" distL="0" distR="0" wp14:anchorId="0CAEBCC6">
            <wp:extent cx="1574800" cy="124521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80455" cy="1249681"/>
                    </a:xfrm>
                    <a:prstGeom prst="rect">
                      <a:avLst/>
                    </a:prstGeom>
                    <a:noFill/>
                  </pic:spPr>
                </pic:pic>
              </a:graphicData>
            </a:graphic>
          </wp:inline>
        </w:drawing>
      </w:r>
    </w:p>
    <w:p w:rsidR="00675523" w:rsidRPr="006C4368" w:rsidRDefault="001B5743" w:rsidP="009607CC">
      <w:pPr>
        <w:jc w:val="center"/>
        <w:rPr>
          <w:rFonts w:ascii="Arial" w:hAnsi="Arial" w:cs="Arial"/>
          <w:lang w:val="en-US"/>
        </w:rPr>
      </w:pPr>
      <w:r w:rsidRPr="001B5743">
        <w:rPr>
          <w:rFonts w:ascii="Arial" w:hAnsi="Arial" w:cs="Arial"/>
          <w:b/>
          <w:lang w:val="en-US"/>
        </w:rPr>
        <w:t xml:space="preserve">Gambar </w:t>
      </w:r>
      <w:r w:rsidR="000219FF">
        <w:rPr>
          <w:rFonts w:ascii="Arial" w:hAnsi="Arial" w:cs="Arial"/>
          <w:b/>
          <w:lang w:val="en-US"/>
        </w:rPr>
        <w:t>3</w:t>
      </w:r>
      <w:r>
        <w:rPr>
          <w:rFonts w:ascii="Arial" w:hAnsi="Arial" w:cs="Arial"/>
          <w:lang w:val="en-US"/>
        </w:rPr>
        <w:t xml:space="preserve">. </w:t>
      </w:r>
      <w:r w:rsidR="000219FF">
        <w:rPr>
          <w:rFonts w:ascii="Arial" w:hAnsi="Arial" w:cs="Arial"/>
          <w:lang w:val="en-US"/>
        </w:rPr>
        <w:t>Pemeriksaan gula darah</w:t>
      </w:r>
    </w:p>
    <w:p w:rsidR="0061663A" w:rsidRDefault="006C4368" w:rsidP="000219FF">
      <w:pPr>
        <w:jc w:val="both"/>
        <w:rPr>
          <w:lang w:val="id-ID"/>
        </w:rPr>
      </w:pPr>
      <w:r>
        <w:rPr>
          <w:noProof/>
          <w:lang w:eastAsia="en-US"/>
        </w:rPr>
        <w:t xml:space="preserve">          </w:t>
      </w:r>
    </w:p>
    <w:p w:rsidR="00BE340C" w:rsidRPr="00BE340C" w:rsidRDefault="00BE340C" w:rsidP="00EC3F6C">
      <w:pPr>
        <w:pStyle w:val="IEEEHeading1"/>
        <w:numPr>
          <w:ilvl w:val="0"/>
          <w:numId w:val="0"/>
        </w:numPr>
        <w:spacing w:before="0" w:after="0"/>
        <w:ind w:left="288" w:hanging="288"/>
        <w:jc w:val="left"/>
        <w:rPr>
          <w:rFonts w:ascii="Arial" w:hAnsi="Arial" w:cs="Arial"/>
          <w:b/>
          <w:iCs/>
          <w:sz w:val="25"/>
          <w:szCs w:val="25"/>
          <w:lang w:val="en-US"/>
        </w:rPr>
      </w:pPr>
      <w:r>
        <w:rPr>
          <w:rFonts w:ascii="Arial" w:hAnsi="Arial" w:cs="Arial"/>
          <w:b/>
          <w:iCs/>
          <w:sz w:val="25"/>
          <w:szCs w:val="25"/>
          <w:lang w:val="en-US"/>
        </w:rPr>
        <w:t xml:space="preserve">2. </w:t>
      </w:r>
      <w:r w:rsidRPr="001C0CCC">
        <w:rPr>
          <w:rFonts w:ascii="Arial" w:hAnsi="Arial" w:cs="Arial"/>
          <w:b/>
          <w:iCs/>
          <w:sz w:val="25"/>
          <w:szCs w:val="25"/>
          <w:lang w:val="en-US"/>
        </w:rPr>
        <w:t>PEMBAHASAN</w:t>
      </w:r>
    </w:p>
    <w:p w:rsidR="007A3BFC" w:rsidRDefault="007A3BFC" w:rsidP="005F070A">
      <w:pPr>
        <w:pStyle w:val="IEEEParagraph"/>
        <w:ind w:firstLine="284"/>
        <w:rPr>
          <w:rFonts w:ascii="Arial" w:hAnsi="Arial" w:cs="Arial"/>
          <w:b/>
          <w:lang w:val="id-ID"/>
        </w:rPr>
      </w:pPr>
      <w:r w:rsidRPr="00E65A35">
        <w:rPr>
          <w:rFonts w:ascii="Arial" w:hAnsi="Arial" w:cs="Arial"/>
          <w:b/>
          <w:lang w:val="id-ID"/>
        </w:rPr>
        <w:t>Tekanan Darah Sistolik dan Kejadian Prahipertensi</w:t>
      </w:r>
    </w:p>
    <w:p w:rsidR="00B9238B" w:rsidRDefault="005F070A" w:rsidP="0001373A">
      <w:pPr>
        <w:pStyle w:val="IEEEParagraph"/>
        <w:ind w:left="288" w:hanging="4"/>
        <w:rPr>
          <w:rFonts w:ascii="Arial" w:hAnsi="Arial" w:cs="Arial"/>
          <w:lang w:val="en-US"/>
        </w:rPr>
      </w:pPr>
      <w:r>
        <w:rPr>
          <w:rFonts w:ascii="Arial" w:hAnsi="Arial" w:cs="Arial"/>
          <w:lang w:val="en-US"/>
        </w:rPr>
        <w:t xml:space="preserve">       </w:t>
      </w:r>
      <w:r w:rsidR="00DF565C">
        <w:rPr>
          <w:rFonts w:ascii="Arial" w:hAnsi="Arial" w:cs="Arial"/>
          <w:lang w:val="en-US"/>
        </w:rPr>
        <w:t xml:space="preserve">Merujuk </w:t>
      </w:r>
      <w:r w:rsidR="00DF565C" w:rsidRPr="00DF565C">
        <w:rPr>
          <w:rFonts w:ascii="Arial" w:hAnsi="Arial" w:cs="Arial" w:hint="eastAsia"/>
          <w:lang w:val="id-ID"/>
        </w:rPr>
        <w:t>pedoman</w:t>
      </w:r>
      <w:r w:rsidR="0001373A" w:rsidRPr="0001373A">
        <w:rPr>
          <w:rFonts w:ascii="Arial" w:hAnsi="Arial" w:cs="Arial"/>
          <w:lang w:val="id-ID"/>
        </w:rPr>
        <w:t xml:space="preserve"> resmi American Academy of Pediatrics di ju</w:t>
      </w:r>
      <w:r w:rsidR="0001373A">
        <w:rPr>
          <w:rFonts w:ascii="Arial" w:hAnsi="Arial" w:cs="Arial"/>
          <w:lang w:val="id-ID"/>
        </w:rPr>
        <w:t>rnal Pediatrics pada tahun 2017 tentang klasifikasi hipertensi pada anak dan remaja di atas 13 tahun</w:t>
      </w:r>
      <w:r w:rsidR="0001373A">
        <w:rPr>
          <w:rFonts w:ascii="Arial" w:hAnsi="Arial" w:cs="Arial"/>
          <w:lang w:val="id-ID"/>
        </w:rPr>
        <w:fldChar w:fldCharType="begin" w:fldLock="1"/>
      </w:r>
      <w:r w:rsidR="0034555E">
        <w:rPr>
          <w:rFonts w:ascii="Arial" w:hAnsi="Arial" w:cs="Arial"/>
          <w:lang w:val="id-ID"/>
        </w:rPr>
        <w:instrText xml:space="preserve">ADDIN CSL_CITATION {"citationItems":[{"id":"ITEM-1","itemData":{"DOI":"10.1542/peds.2017-1904","ISSN":"10984275","PMID":"28827377","abstract":"These pediatric hypertension guidelines are an update to the 2004 \"Fourth Report on the Diagnosis, Evaluation, and Treatment of High Blood Pressure in Children and Adolescents.\" Significant changes in these guidelines include (1) the replacement of the term \"prehypertension\" with the term \"elevated blood pressure, \" (2) new normative pediatric blood pressure </w:instrText>
      </w:r>
      <w:r w:rsidR="0034555E">
        <w:rPr>
          <w:rFonts w:ascii="Arial" w:hAnsi="Arial" w:cs="Arial" w:hint="eastAsia"/>
          <w:lang w:val="id-ID"/>
        </w:rPr>
        <w:instrText xml:space="preserve">(BP) tables based on normal-weight children, (3) a simplified screening table for identifying BPs needing further evaluation, (4) a simplified BP classification in adolescents </w:instrText>
      </w:r>
      <w:r w:rsidR="0034555E">
        <w:rPr>
          <w:rFonts w:ascii="Arial" w:hAnsi="Arial" w:cs="Arial" w:hint="eastAsia"/>
          <w:lang w:val="id-ID"/>
        </w:rPr>
        <w:instrText>≥</w:instrText>
      </w:r>
      <w:r w:rsidR="0034555E">
        <w:rPr>
          <w:rFonts w:ascii="Arial" w:hAnsi="Arial" w:cs="Arial" w:hint="eastAsia"/>
          <w:lang w:val="id-ID"/>
        </w:rPr>
        <w:instrText>13 years of age that aligns with the forthcoming American Heart Association an</w:instrText>
      </w:r>
      <w:r w:rsidR="0034555E">
        <w:rPr>
          <w:rFonts w:ascii="Arial" w:hAnsi="Arial" w:cs="Arial"/>
          <w:lang w:val="id-ID"/>
        </w:rPr>
        <w:instrText>d American College of Cardiology adult BP guidelines, (5) a more limited recommendation to perform screening BP measurements only at preventive care visits, (6) streamlined recommendations on the initial evaluation and management of abnormal BPs, (7) an expanded role for ambulatory BP monitoring in the diagnosis and management of pediatric hypertension, and (8) revised recommendations on when to perform echocardiography in the evaluation of newly diagnosed hypertensive pediatric patients (generally only before medication initiation), along with a revised definition of left ventricular hypertrophy. These guidelines include 30 Key Action Statements and 27 additional recommendations derived from a comprehensive review of almost 15 000 published articles between January 2004 and July 2016. Each Key Action Statement includes level of evidence, benefit-harm relationship, and strength of recommendation. This clinical practice guideline, endorsed by the American Heart Association, is intended to foster a patient- and family-centered approach to care, reduce unnecessary and costly medical interventions, improve patient diagnoses and outcomes, support implementation, and provide direction for future research.","author":[{"dropping-particle":"","family":"Flynn","given":"Joseph T.","non-dropping-particle":"","parse-names":false,"suffix":""},{"dropping-particle":"","family":"Kaelber","given":"David C.","non-dropping-particle":"","parse-names":false,"suffix":""},{"dropping-particle":"","family":"Baker-Smith","given":"Carissa M.","non-dropping-particle":"","parse-names":false,"suffix":""},{"dropping-particle":"","family":"Blowey","given":"Douglas","non-dropping-particle":"","parse-names":false,"suffix":""},{"dropping-particle":"","family":"Carroll","given":"Aaron E.","non-dropping-particle":"","parse-names":false,"suffix":""},{"dropping-particle":"","family":"Daniels","given":"Stephen R.","non-dropping-particle":"","parse-names":false,"suffix":""},{"dropping-particle":"","family":"Ferranti","given":"Sarah D.","non-dropping-particle":"De","parse-names":false,"suffix":""},{"dropping-particle":"","family":"Dionne","given":"Janis M.","non-dropping-particle":"","parse-names":false,"suffix":""},{"dropping-particle":"","family":"Falkner","given":"Bonita","non-dropping-particle":"","parse-names":false,"suffix":""},{"dropping-particle":"","family":"Flinn","given":"Susan K.","non-dropping-particle":"","parse-names":false,"suffix":""},{"dropping-particle":"","family":"Gidding","given":"Samuel S.","non-dropping-particle":"","parse-names":false,"suffix":""},{"dropping-particle":"","family":"Goodwin","given":"Celeste","non-dropping-particle":"","parse-names":false,"suffix":""},{"dropping-particle":"","family":"Leu","given":"Michael G.","non-dropping-particle":"","parse-names":false,"suffix":""},{"dropping-particle":"","family":"Powers","given":"Makia E.","non-dropping-particle":"","parse-names":false,"suffix":""},{"dropping-particle":"","family":"Rea","given":"Corinna","non-dropping-particle":"","parse-names":false,"suffix":""},{"dropping-particle":"","family":"Samuels","given":"Joshua","non-dropping-particle":"","parse-names":false,"suffix":""},{"dropping-particle":"","family":"Simase","given":"Madeline","non-dropping-particle":"","parse-names":false,"suffix":""},{"dropping-particle":"V.","family":"Thaker","given":"Vidhu","non-dropping-particle":"","parse-names":false,"suffix":""},{"dropping-particle":"","family":"Urbina","given":"Elaine M.","non-dropping-particle":"","parse-names":false,"suffix":""},{"dropping-particle":"","family":"Simasek","given":"Madeline","non-dropping-particle":"","parse-names":false,"suffix":""},{"dropping-particle":"","family":"Okechukwu","given":"Kymika","non-dropping-particle":"","parse-names":false,"suffix":""}],"container-title":"Pediatrics","id":"ITEM-1","issue":"3","issued":{"date-parts":[["2017"]]},"title":"Clinical practice guideline for screening and management of high blood pressure in children and adolescents","type":"article-journal","volume":"140"},"uris":["http://www.mendeley.com/documents/?uuid=2556a92d-f993-4ee4-8ece-8ebbf3970f1a"]}],"mendeley":{"formattedCitation":"(8)","plainTextFormattedCitation":"(8)","previouslyFormattedCitation":"(8)"},"properties":{"noteIndex":0},"schema":"https://github.com/citation-style-language/schema/raw/master/csl-citation.json"}</w:instrText>
      </w:r>
      <w:r w:rsidR="0001373A">
        <w:rPr>
          <w:rFonts w:ascii="Arial" w:hAnsi="Arial" w:cs="Arial"/>
          <w:lang w:val="id-ID"/>
        </w:rPr>
        <w:fldChar w:fldCharType="separate"/>
      </w:r>
      <w:r w:rsidR="0001373A" w:rsidRPr="0001373A">
        <w:rPr>
          <w:rFonts w:ascii="Arial" w:hAnsi="Arial" w:cs="Arial"/>
          <w:noProof/>
          <w:lang w:val="id-ID"/>
        </w:rPr>
        <w:t>(8)</w:t>
      </w:r>
      <w:r w:rsidR="0001373A">
        <w:rPr>
          <w:rFonts w:ascii="Arial" w:hAnsi="Arial" w:cs="Arial"/>
          <w:lang w:val="id-ID"/>
        </w:rPr>
        <w:fldChar w:fldCharType="end"/>
      </w:r>
      <w:r w:rsidR="0001373A">
        <w:rPr>
          <w:rFonts w:ascii="Arial" w:hAnsi="Arial" w:cs="Arial"/>
          <w:lang w:val="en-US"/>
        </w:rPr>
        <w:t>, h</w:t>
      </w:r>
      <w:r w:rsidR="00B9238B" w:rsidRPr="00B9238B">
        <w:rPr>
          <w:rFonts w:ascii="Arial" w:hAnsi="Arial" w:cs="Arial"/>
          <w:lang w:val="en-US"/>
        </w:rPr>
        <w:t xml:space="preserve">asil skrining kesehatan tim </w:t>
      </w:r>
      <w:r>
        <w:rPr>
          <w:rFonts w:ascii="Arial" w:hAnsi="Arial" w:cs="Arial"/>
          <w:lang w:val="en-US"/>
        </w:rPr>
        <w:t xml:space="preserve">pengabdian </w:t>
      </w:r>
      <w:r w:rsidR="00B9238B" w:rsidRPr="00B9238B">
        <w:rPr>
          <w:rFonts w:ascii="Arial" w:hAnsi="Arial" w:cs="Arial"/>
          <w:lang w:val="en-US"/>
        </w:rPr>
        <w:t xml:space="preserve">mahasiswa menunjukkan bahwa sebagian besar remaja memiliki tekanan darah, kadar gula darah, dan berat badan dalam batas normal. Namun, </w:t>
      </w:r>
      <w:r w:rsidR="00B9238B" w:rsidRPr="00B9238B">
        <w:rPr>
          <w:rFonts w:ascii="Arial" w:hAnsi="Arial" w:cs="Arial"/>
          <w:lang w:val="en-US"/>
        </w:rPr>
        <w:lastRenderedPageBreak/>
        <w:t xml:space="preserve">terdapat proporsi yang tidak sedikit pada kategori </w:t>
      </w:r>
      <w:r w:rsidR="00B9238B" w:rsidRPr="005F070A">
        <w:rPr>
          <w:rFonts w:ascii="Arial" w:hAnsi="Arial" w:cs="Arial"/>
          <w:bCs/>
          <w:lang w:val="en-US"/>
        </w:rPr>
        <w:t>prahipertensi hingga hipertensi</w:t>
      </w:r>
      <w:r w:rsidR="00B9238B" w:rsidRPr="00B9238B">
        <w:rPr>
          <w:rFonts w:ascii="Arial" w:hAnsi="Arial" w:cs="Arial"/>
          <w:lang w:val="en-US"/>
        </w:rPr>
        <w:t xml:space="preserve"> serta kadar gula darah yang mendekati batas atas, mencerminkan potensi risiko penyakit tidak menular sejak usia </w:t>
      </w:r>
      <w:r w:rsidR="00BE31AF">
        <w:rPr>
          <w:rFonts w:ascii="Arial" w:hAnsi="Arial" w:cs="Arial"/>
          <w:lang w:val="en-US"/>
        </w:rPr>
        <w:t>muda. Temuan ini selaras dengan b</w:t>
      </w:r>
      <w:r w:rsidR="00B9238B" w:rsidRPr="00B9238B">
        <w:rPr>
          <w:rFonts w:ascii="Arial" w:hAnsi="Arial" w:cs="Arial"/>
          <w:lang w:val="en-US"/>
        </w:rPr>
        <w:t>ukti epidemiologi global</w:t>
      </w:r>
      <w:r w:rsidR="00BE31AF">
        <w:rPr>
          <w:rFonts w:ascii="Arial" w:hAnsi="Arial" w:cs="Arial"/>
          <w:lang w:val="en-US"/>
        </w:rPr>
        <w:t xml:space="preserve">. Terdapat </w:t>
      </w:r>
      <w:r w:rsidR="00B9238B" w:rsidRPr="00B9238B">
        <w:rPr>
          <w:rFonts w:ascii="Arial" w:hAnsi="Arial" w:cs="Arial"/>
          <w:lang w:val="en-US"/>
        </w:rPr>
        <w:t>peningkatan prevalensi tekanan darah tinggi dan prahipertensi pada anak dan remaja beberapa dekade terakhir</w:t>
      </w:r>
      <w:r w:rsidR="00BE31AF">
        <w:rPr>
          <w:rFonts w:ascii="Arial" w:hAnsi="Arial" w:cs="Arial"/>
          <w:lang w:val="en-US"/>
        </w:rPr>
        <w:t xml:space="preserve">. </w:t>
      </w:r>
      <w:r w:rsidR="00B9238B" w:rsidRPr="00B9238B">
        <w:rPr>
          <w:rFonts w:ascii="Arial" w:hAnsi="Arial" w:cs="Arial"/>
          <w:lang w:val="en-US"/>
        </w:rPr>
        <w:t>tekanan darah yang lebih tinggi pada usia muda dikaitkan dengan risiko penyakit kardiovaskular di kemudian hari, termasuk aterosklerosis koroner, bahkan ketika masih dalam rentang “elevated” atau pra-hipertensi</w:t>
      </w:r>
      <w:r w:rsidR="00B9238B">
        <w:rPr>
          <w:rFonts w:ascii="Arial" w:hAnsi="Arial" w:cs="Arial"/>
          <w:lang w:val="en-US"/>
        </w:rPr>
        <w:fldChar w:fldCharType="begin" w:fldLock="1"/>
      </w:r>
      <w:r w:rsidR="0034555E">
        <w:rPr>
          <w:rFonts w:ascii="Arial" w:hAnsi="Arial" w:cs="Arial"/>
          <w:lang w:val="en-US"/>
        </w:rPr>
        <w:instrText>ADDIN CSL_CITATION {"citationItems":[{"id":"ITEM-1","itemData":{"DOI":"10.1001/jamacardio.2025.4271","ISSN":"23806591","PMID":"41259058","abstract":"Importance Elevated blood pressure (BP) in adolescence has been linked to higher risk of cardiovascular disease mortality, as well as surrogate markers of atherosclerosis, such as carotid intima-media thickness and coronary artery calcification. However, these markers do not fully capture the complex spectrum of subclinical atherosclerotic cardiovascular disease. Objective To examine the association between systolic and diastolic BP in adolescence and atherosclerosis in middle age, measured by coronary computed tomography angiography (CCTA). Design, Setting, and Participants This population-based cohort study conducted in Sweden linked BP data from the Swedish Military Conscription Register (1972-1987) during adolescence to atherosclerosis data from the Swedish Cardiopulmonary Bioimage Study (2013-2018) during middle age. Data analyses were performed in May 2025. Exposure Adolescent BP was categorized according to the 2025 American College of Cardiology/American Heart Association (ACC/AHA) and the 2024 European Society of Cardiology (ESC) guidelines. Main Outcomes and Measures The primary outcome was coronary atherosclerosis, evaluated via CCTA stenosis. The associations were analyzed using multinomial logistic regression, adjusted (marginal) prevalences, and restricted cubic splines. Results A total of 10 222 men with mean (SD) age of 18.3 (0.5) years at baseline and median (IQR) age of 57.8 (53.4-61.2) years at follow-up were included. At baseline, mean (SD) systolic BP (SBP) and diastolic BP (DBP) were 127.6 (10.7) mm Hg and 68.3 (9.5) mm Hg, respectively. After a median (IQR) follow-up of 39.5 (35.2-42.8) years, 4159 participants (45.7%) had 1% to 49% coronary stenosis and 784 (8.6%) had 50% or greater coronary stenosis. Elevated BP in adolescence was associated with coronary stenosis in a dose-response fashion. Adolescents with stage 2 hypertension had a</w:instrText>
      </w:r>
      <w:r w:rsidR="0034555E">
        <w:rPr>
          <w:rFonts w:ascii="Arial" w:hAnsi="Arial" w:cs="Arial" w:hint="eastAsia"/>
          <w:lang w:val="en-US"/>
        </w:rPr>
        <w:instrText xml:space="preserve"> higher risk of severe coronary stenosis (</w:instrText>
      </w:r>
      <w:r w:rsidR="0034555E">
        <w:rPr>
          <w:rFonts w:ascii="Arial" w:hAnsi="Arial" w:cs="Arial" w:hint="eastAsia"/>
          <w:lang w:val="en-US"/>
        </w:rPr>
        <w:instrText>≥</w:instrText>
      </w:r>
      <w:r w:rsidR="0034555E">
        <w:rPr>
          <w:rFonts w:ascii="Arial" w:hAnsi="Arial" w:cs="Arial" w:hint="eastAsia"/>
          <w:lang w:val="en-US"/>
        </w:rPr>
        <w:instrText>50%), with an odds ratio of 1.84 (95% CI, 1.40-2.42) and an adjusted prevalence of 10.1% (95% CI, 8.6%-11.5%) compared to those with normal BP (adjusted prevalence, 6.9%; 95% CI, 5.7%-8.1%). Elevated BP categorie</w:instrText>
      </w:r>
      <w:r w:rsidR="0034555E">
        <w:rPr>
          <w:rFonts w:ascii="Arial" w:hAnsi="Arial" w:cs="Arial"/>
          <w:lang w:val="en-US"/>
        </w:rPr>
        <w:instrText>s according to the 2025 ACC/AHA (120-129/&lt;80 mm Hg) and the 2024 ESC (120-139/70-89 mm Hg) were associated with severe coronary atherosclerosis in middle age. The association was stronger for SBP than for DBP. Conclusions and Relevance In this population-based cohort study, higher BP levels in adolescence were associated with a dose-dependent higher…","author":[{"dropping-particle":"","family":"Herraiz-Adillo","given":"Ángel","non-dropping-particle":"","parse-names":false,"suffix":""},{"dropping-particle":"","family":"Eriksson","given":"Hampus","non-dropping-particle":"","parse-names":false,"suffix":""},{"dropping-particle":"","family":"Ahlqvist","given":"Viktor H.","non-dropping-particle":"","parse-names":false,"suffix":""},{"dropping-particle":"","family":"Ballin","given":"Marcel","non-dropping-particle":"","parse-names":false,"suffix":""},{"dropping-particle":"","family":"Wennberg","given":"Patrik","non-dropping-particle":"","parse-names":false,"suffix":""},{"dropping-particle":"","family":"Daka","given":"Bledar","non-dropping-particle":"","parse-names":false,"suffix":""},{"dropping-particle":"","family":"Lenander","given":"Cecilia","non-dropping-particle":"","parse-names":false,"suffix":""},{"dropping-particle":"","family":"Berglind","given":"Daniel","non-dropping-particle":"","parse-names":false,"suffix":""},{"dropping-particle":"","family":"Östgren","given":"Carl Johan","non-dropping-particle":"","parse-names":false,"suffix":""},{"dropping-particle":"","family":"Lundgren","given":"Oskar","non-dropping-particle":"","parse-names":false,"suffix":""},{"dropping-particle":"","family":"Rådholm","given":"Karin","non-dropping-particle":"","parse-names":false,"suffix":""},{"dropping-particle":"","family":"Henriksson","given":"Pontus","non-dropping-particle":"","parse-names":false,"suffix":""}],"container-title":"JAMA Cardiology","id":"ITEM-1","issue":"1","issued":{"date-parts":[["2026"]]},"page":"14-24","title":"Blood Pressure in Adolescence and Atherosclerosis in Middle Age","type":"article-journal","volume":"11"},"uris":["http://www.mendeley.com/documents/?uuid=64904e8c-f6ce-493f-9cb0-1d2347e95e76"]}],"mendeley":{"formattedCitation":"(10)","plainTextFormattedCitation":"(10)","previouslyFormattedCitation":"(10)"},"properties":{"noteIndex":0},"schema":"https://github.com/citation-style-language/schema/raw/master/csl-citation.json"}</w:instrText>
      </w:r>
      <w:r w:rsidR="00B9238B">
        <w:rPr>
          <w:rFonts w:ascii="Arial" w:hAnsi="Arial" w:cs="Arial"/>
          <w:lang w:val="en-US"/>
        </w:rPr>
        <w:fldChar w:fldCharType="separate"/>
      </w:r>
      <w:r w:rsidR="0001373A" w:rsidRPr="0001373A">
        <w:rPr>
          <w:rFonts w:ascii="Arial" w:hAnsi="Arial" w:cs="Arial"/>
          <w:noProof/>
          <w:lang w:val="en-US"/>
        </w:rPr>
        <w:t>(10)</w:t>
      </w:r>
      <w:r w:rsidR="00B9238B">
        <w:rPr>
          <w:rFonts w:ascii="Arial" w:hAnsi="Arial" w:cs="Arial"/>
          <w:lang w:val="en-US"/>
        </w:rPr>
        <w:fldChar w:fldCharType="end"/>
      </w:r>
      <w:r w:rsidR="00B9238B" w:rsidRPr="00B9238B">
        <w:rPr>
          <w:rFonts w:ascii="Arial" w:hAnsi="Arial" w:cs="Arial"/>
          <w:lang w:val="en-US"/>
        </w:rPr>
        <w:t xml:space="preserve">. </w:t>
      </w:r>
    </w:p>
    <w:p w:rsidR="00BE31AF" w:rsidRDefault="00C23536" w:rsidP="00C23536">
      <w:pPr>
        <w:pStyle w:val="IEEEParagraph"/>
        <w:ind w:left="288" w:firstLine="0"/>
        <w:rPr>
          <w:rFonts w:ascii="Arial" w:hAnsi="Arial" w:cs="Arial"/>
          <w:lang w:val="en-US"/>
        </w:rPr>
      </w:pPr>
      <w:r>
        <w:rPr>
          <w:rFonts w:ascii="Arial" w:hAnsi="Arial" w:cs="Arial"/>
          <w:lang w:val="en-US"/>
        </w:rPr>
        <w:t xml:space="preserve">       </w:t>
      </w:r>
      <w:r w:rsidR="00BE31AF" w:rsidRPr="00BE31AF">
        <w:rPr>
          <w:rFonts w:ascii="Arial" w:hAnsi="Arial" w:cs="Arial"/>
          <w:lang w:val="en-US"/>
        </w:rPr>
        <w:t>Prehipertensi terbukti secara signifikan meningkatkan risiko penyakit kardiovaskular sebesar 1,38 kali, penyakit jantung koroner sebesar 1,12 kali, serta meningkatkan risiko kematia</w:t>
      </w:r>
      <w:r w:rsidR="00BE31AF">
        <w:rPr>
          <w:rFonts w:ascii="Arial" w:hAnsi="Arial" w:cs="Arial"/>
          <w:lang w:val="en-US"/>
        </w:rPr>
        <w:t>n akibat stroke hingga 1,48 kali</w:t>
      </w:r>
      <w:r w:rsidR="00BE31AF" w:rsidRPr="00BE31AF">
        <w:rPr>
          <w:rFonts w:ascii="Arial" w:hAnsi="Arial" w:cs="Arial"/>
          <w:lang w:val="en-US"/>
        </w:rPr>
        <w:t>. Meskipun sering dianggap sebagai tahap peralihan antara tekanan darah normal dan hipertensi, prehipertensi telah diidentifikasi sebagai faktor risiko independen terhadap kejadian kardiovaskular dan stroke.</w:t>
      </w:r>
      <w:r w:rsidR="00BE31AF">
        <w:rPr>
          <w:rFonts w:ascii="Arial" w:hAnsi="Arial" w:cs="Arial"/>
          <w:lang w:val="en-US"/>
        </w:rPr>
        <w:t xml:space="preserve"> Menurut penelitian Sudikno tahun 2023,  r</w:t>
      </w:r>
      <w:r w:rsidR="00BE31AF" w:rsidRPr="00BE31AF">
        <w:rPr>
          <w:rFonts w:ascii="Arial" w:hAnsi="Arial" w:cs="Arial"/>
          <w:lang w:val="en-US"/>
        </w:rPr>
        <w:t>emaja berusia 18 tahun memiliki kemungkinan 14,64 kali lebih tinggi  mengalami p</w:t>
      </w:r>
      <w:r w:rsidR="00BE31AF">
        <w:rPr>
          <w:rFonts w:ascii="Arial" w:hAnsi="Arial" w:cs="Arial"/>
          <w:lang w:val="en-US"/>
        </w:rPr>
        <w:t>rehipertensi dibandingkan u</w:t>
      </w:r>
      <w:r w:rsidR="00BE31AF" w:rsidRPr="00BE31AF">
        <w:rPr>
          <w:rFonts w:ascii="Arial" w:hAnsi="Arial" w:cs="Arial"/>
          <w:lang w:val="en-US"/>
        </w:rPr>
        <w:t xml:space="preserve">sia 15 tahun. Risiko ini </w:t>
      </w:r>
      <w:r w:rsidR="00BE31AF">
        <w:rPr>
          <w:rFonts w:ascii="Arial" w:hAnsi="Arial" w:cs="Arial"/>
          <w:lang w:val="en-US"/>
        </w:rPr>
        <w:t xml:space="preserve">semakin </w:t>
      </w:r>
      <w:r w:rsidR="00BE31AF" w:rsidRPr="00BE31AF">
        <w:rPr>
          <w:rFonts w:ascii="Arial" w:hAnsi="Arial" w:cs="Arial"/>
          <w:lang w:val="en-US"/>
        </w:rPr>
        <w:t>pada usia 19 tahun</w:t>
      </w:r>
      <w:r w:rsidR="00BE31AF">
        <w:rPr>
          <w:rFonts w:ascii="Arial" w:hAnsi="Arial" w:cs="Arial"/>
          <w:lang w:val="en-US"/>
        </w:rPr>
        <w:t>. F</w:t>
      </w:r>
      <w:r w:rsidR="00BE31AF" w:rsidRPr="00BE31AF">
        <w:rPr>
          <w:rFonts w:ascii="Arial" w:hAnsi="Arial" w:cs="Arial"/>
          <w:lang w:val="en-US"/>
        </w:rPr>
        <w:t xml:space="preserve">aktor resiko  seperti  jenis kelamin, usia, </w:t>
      </w:r>
      <w:r w:rsidR="00BE31AF">
        <w:rPr>
          <w:rFonts w:ascii="Arial" w:hAnsi="Arial" w:cs="Arial"/>
          <w:lang w:val="en-US"/>
        </w:rPr>
        <w:t xml:space="preserve">sosiodemografi, obesitas, </w:t>
      </w:r>
      <w:r w:rsidR="00BE31AF" w:rsidRPr="00BE31AF">
        <w:rPr>
          <w:rFonts w:ascii="Arial" w:hAnsi="Arial" w:cs="Arial"/>
          <w:lang w:val="en-US"/>
        </w:rPr>
        <w:t>kebiasaan merokok, konsumsi alkohol, dan tingkat aktivitas fisik</w:t>
      </w:r>
      <w:r w:rsidR="00BE31AF">
        <w:rPr>
          <w:rFonts w:ascii="Arial" w:hAnsi="Arial" w:cs="Arial"/>
          <w:lang w:val="en-US"/>
        </w:rPr>
        <w:t xml:space="preserve"> rendah sangat signifikan memicu p</w:t>
      </w:r>
      <w:r w:rsidR="00BE31AF" w:rsidRPr="00BE31AF">
        <w:rPr>
          <w:rFonts w:ascii="Arial" w:hAnsi="Arial" w:cs="Arial"/>
          <w:lang w:val="en-US"/>
        </w:rPr>
        <w:t>r</w:t>
      </w:r>
      <w:r w:rsidR="00BE31AF">
        <w:rPr>
          <w:rFonts w:ascii="Arial" w:hAnsi="Arial" w:cs="Arial"/>
          <w:lang w:val="en-US"/>
        </w:rPr>
        <w:t>ehipertensi</w:t>
      </w:r>
      <w:r w:rsidR="00BE31AF">
        <w:rPr>
          <w:rFonts w:ascii="Arial" w:hAnsi="Arial" w:cs="Arial"/>
          <w:lang w:val="en-US"/>
        </w:rPr>
        <w:fldChar w:fldCharType="begin" w:fldLock="1"/>
      </w:r>
      <w:r w:rsidR="0034555E">
        <w:rPr>
          <w:rFonts w:ascii="Arial" w:hAnsi="Arial" w:cs="Arial"/>
          <w:lang w:val="en-US"/>
        </w:rPr>
        <w:instrText>ADDIN CSL_CITATION {"citationItems":[{"id":"ITEM-1","itemData":{"DOI":"10.31004/jkt.v5i4.27065","ISSN":"2777-0524","abstract":"Prehipertensi pada remaja merupakan masalah kesehatan penting yang berpotensi meningkatkan risiko hipertensi dan penyakit kardiovaskular di masa dewasa. Berbagai faktor risiko prehipertensi telah diidentifikasi di berbagai negara, namun temuan penelitian bervariasi. Studi ini bertujuan untuk mengidentifikasi dan menganalisis faktor risiko prehipertensi pada remaja melalui telaah sistematik dan meta-analisis dari beberapa negara. Penelitian menggunakan metode telaah sistematik dan meta-analisis dengan penelusuran literatur pada database PubMed, ProQuest, dan ScienceDirect. Pencarian dibatasi pada publikasi lima tahun terakhir, dengan kriteria inklusi berupa penelitian faktor risiko prehipertensi pada remaja usia 10-19 tahun. Dari hasil analisis terhadap empat studi, ditemukan bahwa faktor risiko yang signifikan meliputi usia, jenis kelamin, obesitas, dan aktivitas fisik rendah. Remaja yang lebih tua, laki-laki, obesitas, dan kurang aktif secara fisik memiliki risiko lebih tinggi terhadap prehipertensi. Faktor risiko prehipertensi pada remaja dipengaruhi oleh usia, jenis kelamin, obesitas, dan tingkat aktivitas fisik. Pemahaman tentang faktor risiko ini penting untuk pengembangan strategi pencegahan dan pengendalian prehipertensi yang berpotensi berkembang menjadi hipertensi pada remaja.","author":[{"dropping-particle":"","family":"Lestari","given":"Annisa Ayu","non-dropping-particle":"","parse-names":false,"suffix":""},{"dropping-particle":"","family":"Syarif","given":"Syahrizal","non-dropping-particle":"","parse-names":false,"suffix":""}],"container-title":"Jurnal Kesehatan Tambusai","id":"ITEM-1","issue":"4","issued":{"date-parts":[["2024"]]},"page":"13906-13917","title":"Telaah Sistematik Dan Meta-Analisis : Faktor Risiko Prehipertensi Pada Remaja Di Beberapa Negara","type":"article-journal","volume":"5"},"uris":["http://www.mendeley.com/documents/?uuid=e1389177-68c0-4cd8-afbb-801de7fa5ddf"]}],"mendeley":{"formattedCitation":"(11)","plainTextFormattedCitation":"(11)","previouslyFormattedCitation":"(11)"},"properties":{"noteIndex":0},"schema":"https://github.com/citation-style-language/schema/raw/master/csl-citation.json"}</w:instrText>
      </w:r>
      <w:r w:rsidR="00BE31AF">
        <w:rPr>
          <w:rFonts w:ascii="Arial" w:hAnsi="Arial" w:cs="Arial"/>
          <w:lang w:val="en-US"/>
        </w:rPr>
        <w:fldChar w:fldCharType="separate"/>
      </w:r>
      <w:r w:rsidR="0001373A" w:rsidRPr="0001373A">
        <w:rPr>
          <w:rFonts w:ascii="Arial" w:hAnsi="Arial" w:cs="Arial"/>
          <w:noProof/>
          <w:lang w:val="en-US"/>
        </w:rPr>
        <w:t>(11)</w:t>
      </w:r>
      <w:r w:rsidR="00BE31AF">
        <w:rPr>
          <w:rFonts w:ascii="Arial" w:hAnsi="Arial" w:cs="Arial"/>
          <w:lang w:val="en-US"/>
        </w:rPr>
        <w:fldChar w:fldCharType="end"/>
      </w:r>
      <w:r w:rsidR="00BE31AF">
        <w:rPr>
          <w:rFonts w:ascii="Arial" w:hAnsi="Arial" w:cs="Arial"/>
          <w:lang w:val="en-US"/>
        </w:rPr>
        <w:t>.</w:t>
      </w:r>
    </w:p>
    <w:p w:rsidR="006A5046" w:rsidRDefault="006A5046" w:rsidP="00C23536">
      <w:pPr>
        <w:pStyle w:val="IEEEParagraph"/>
        <w:ind w:left="288" w:firstLine="0"/>
        <w:rPr>
          <w:rFonts w:ascii="Arial" w:hAnsi="Arial" w:cs="Arial"/>
          <w:b/>
          <w:lang w:val="en-US"/>
        </w:rPr>
      </w:pPr>
    </w:p>
    <w:p w:rsidR="006A5046" w:rsidRPr="006A5046" w:rsidRDefault="006A5046" w:rsidP="00C23536">
      <w:pPr>
        <w:pStyle w:val="IEEEParagraph"/>
        <w:ind w:left="288" w:firstLine="0"/>
        <w:rPr>
          <w:rFonts w:ascii="Arial" w:hAnsi="Arial" w:cs="Arial"/>
          <w:b/>
          <w:lang w:val="en-US"/>
        </w:rPr>
      </w:pPr>
      <w:r w:rsidRPr="006A5046">
        <w:rPr>
          <w:rFonts w:ascii="Arial" w:hAnsi="Arial" w:cs="Arial"/>
          <w:b/>
          <w:lang w:val="en-US"/>
        </w:rPr>
        <w:t>Pencegahan diabetes mellitus pada remaja</w:t>
      </w:r>
    </w:p>
    <w:p w:rsidR="005B0435" w:rsidRPr="00C14F98" w:rsidRDefault="00C14F98" w:rsidP="00C14F98">
      <w:pPr>
        <w:pStyle w:val="IEEEParagraph"/>
        <w:ind w:left="288" w:firstLine="0"/>
        <w:rPr>
          <w:rFonts w:ascii="Arial" w:hAnsi="Arial" w:cs="Arial"/>
          <w:lang w:val="en-US"/>
        </w:rPr>
      </w:pPr>
      <w:r>
        <w:rPr>
          <w:rFonts w:ascii="Arial" w:hAnsi="Arial" w:cs="Arial"/>
          <w:lang w:val="en-US"/>
        </w:rPr>
        <w:t xml:space="preserve">       </w:t>
      </w:r>
      <w:r w:rsidRPr="00C14F98">
        <w:rPr>
          <w:rFonts w:ascii="Arial" w:hAnsi="Arial" w:cs="Arial"/>
          <w:lang w:val="en-US"/>
        </w:rPr>
        <w:t>Pemeriksaan gula darah sewaktu merupakan metode sederhana untuk mengukur kadar glukosa darah pada waktu tertentu tanpa harus berpuasa</w:t>
      </w:r>
      <w:r w:rsidR="005F6061">
        <w:rPr>
          <w:rFonts w:ascii="Arial" w:hAnsi="Arial" w:cs="Arial"/>
          <w:lang w:val="en-US"/>
        </w:rPr>
        <w:fldChar w:fldCharType="begin" w:fldLock="1"/>
      </w:r>
      <w:r w:rsidR="005F6061">
        <w:rPr>
          <w:rFonts w:ascii="Arial" w:hAnsi="Arial" w:cs="Arial"/>
          <w:lang w:val="en-US"/>
        </w:rPr>
        <w:instrText>ADDIN CSL_CITATION {"citationItems":[{"id":"ITEM-1","itemData":{"DOI":"10.20956/pa.v9i3.36970","abstract":"Diabetes Mellitus (DM) is a chronic disease with potentially serious health consequences, particularly if not detected and managed at an early stage. While DM is commonly associated with the elderly, it also affects younger individuals, including adolescents. Therefore, increasing awareness and knowledge of DM among adolescents is therefore essential. This community service program aimed to improve the understanding of DM among high school students in Padang City through educational interventions and blood glucose screening, including random blood glucose and HbA1c measurements. The educational session featured interactive presentations addressing the definition, risk factors, symptoms, prevention, and management of DM, followed by blood glucose testing for early detection. The activities were conducted at SMKN 2 Padang on July 18, 2023, and SMAN 13 Padang on August 20, 2023, involving a total of 75 students. The findings showed a significant increase in students’ average knowledge scores, from 19 prior to the intervention to 29.5 afterward. Statistical analysis using the Wilcoxon test confirmed a significant improvement (p = 0.0001), which indicates the effectiveness of the intervention. These results suggest that educational interventions combined with blood glucose screening significantly enhance adolescents' knowledge and awareness of DM, supporting early prevention and better disease management among young populations.   ---   Diabetes Melitus (DM) merupakan salah satu penyakit kronis yang dapat berdampak serius pada kesehatan, terutama bila tidak terdeteksi dan ditangani sejak dini. Diabetes tidak hanya diderita oleh penduduk usia lanjut namun juga usia lebih muda, yaitu remaja. Penyuluhan mengenai DM pada remaja sangat penting untuk meningkatkan kesadaran dan pengetahuan mereka tentang penyakit ini. Kegiatan pengabdian masyarakat ini bertujuan untuk meningkatkan pengetahuan remaja SMA dan SMK di Kota Padang tentang DM melalui metode penyuluhan dan pemeriksaan gula darah sewaktu serta HbA1c. Penyuluhan dilaksanakan melalui presentasi interaktif yang membahas definisi, faktor risiko, gejala, pencegahan, dan penanganan DM, diikuti dengan pemeriksaan gula darah untuk deteksi dini. Kegiatan dilakukan di SMKN 2 Padang pada 18 Juli 2023 dan di SMAN 13 Padang pada tanggal 20 Agustus 2023. Partisipan dalam kegiatan ini berjumlah 75 siswa. Hasil kegiatan menunjukkan bahwa terjadi peningkatan rerata skor pengetahuan remaja dari 19 sebelum penyuluhan menjadi…","author":[{"dropping-particle":"","family":"Resmiati","given":"","non-dropping-particle":"","parse-names":false,"suffix":""},{"dropping-particle":"","family":"Puri","given":"Ice Yolanda","non-dropping-particle":"","parse-names":false,"suffix":""},{"dropping-particle":"","family":"Masnarivan","given":"Yeffi","non-dropping-particle":"","parse-names":false,"suffix":""},{"dropping-particle":"","family":"Azrimaidaliza","given":"","non-dropping-particle":"","parse-names":false,"suffix":""}],"container-title":"Panrita Abdi - Jurnal Pengabdian pada Masyarakat","id":"ITEM-1","issue":"3","issued":{"date-parts":[["2025"]]},"page":"549-557","title":"Peningkatan Kesadaran Remaja Terhadap Diabetes Mellitus Melalui Program Penyuluhan Dan Pemeriksaan Kadar Gula Darah Di Kota Padang","type":"article-journal","volume":"9"},"uris":["http://www.mendeley.com/documents/?uuid=a264c3a7-c75a-4dd2-84ed-8a91d55ba47b"]}],"mendeley":{"formattedCitation":"(12)","plainTextFormattedCitation":"(12)","previouslyFormattedCitation":"(12)"},"properties":{"noteIndex":0},"schema":"https://github.com/citation-style-language/schema/raw/master/csl-citation.json"}</w:instrText>
      </w:r>
      <w:r w:rsidR="005F6061">
        <w:rPr>
          <w:rFonts w:ascii="Arial" w:hAnsi="Arial" w:cs="Arial"/>
          <w:lang w:val="en-US"/>
        </w:rPr>
        <w:fldChar w:fldCharType="separate"/>
      </w:r>
      <w:r w:rsidR="005F6061" w:rsidRPr="005F6061">
        <w:rPr>
          <w:rFonts w:ascii="Arial" w:hAnsi="Arial" w:cs="Arial"/>
          <w:noProof/>
          <w:lang w:val="en-US"/>
        </w:rPr>
        <w:t>(12)</w:t>
      </w:r>
      <w:r w:rsidR="005F6061">
        <w:rPr>
          <w:rFonts w:ascii="Arial" w:hAnsi="Arial" w:cs="Arial"/>
          <w:lang w:val="en-US"/>
        </w:rPr>
        <w:fldChar w:fldCharType="end"/>
      </w:r>
      <w:r w:rsidRPr="00C14F98">
        <w:rPr>
          <w:rFonts w:ascii="Arial" w:hAnsi="Arial" w:cs="Arial"/>
          <w:lang w:val="en-US"/>
        </w:rPr>
        <w:t>. Pemeriksaan ini berperan penting dalam mendeteksi adanya peningkatan kadar gula darah yang dapat menjadi indikator awal risiko diabetes</w:t>
      </w:r>
      <w:r w:rsidR="005F6061">
        <w:rPr>
          <w:rFonts w:ascii="Arial" w:hAnsi="Arial" w:cs="Arial"/>
          <w:lang w:val="en-US"/>
        </w:rPr>
        <w:fldChar w:fldCharType="begin" w:fldLock="1"/>
      </w:r>
      <w:r w:rsidR="007A68BB">
        <w:rPr>
          <w:rFonts w:ascii="Arial" w:hAnsi="Arial" w:cs="Arial"/>
          <w:lang w:val="en-US"/>
        </w:rPr>
        <w:instrText>ADDIN CSL_CITATION {"citationItems":[{"id":"ITEM-1","itemData":{"author":[{"dropping-particle":"","family":"Pobas","given":"Sally","non-dropping-particle":"","parse-names":false,"suffix":""},{"dropping-particle":"","family":"Sary","given":"Dewi Antika","non-dropping-particle":"","parse-names":false,"suffix":""},{"dropping-particle":"","family":"Hapsari","given":"Fransiska Dwi","non-dropping-particle":"","parse-names":false,"suffix":""},{"dropping-particle":"","family":"Wuladari","given":"Wan Karmida","non-dropping-particle":"","parse-names":false,"suffix":""}],"container-title":"SOCIETY: Jurnal Pengabdian Masyarakat","id":"ITEM-1","issue":"4","issued":{"date-parts":[["2025"]]},"page":"513-520","title":"EDUKASI TENTANG PENTINGNYA SKRINING DAN KONTROL RUTIN TERHADAP PENCEGAHAN PENYAKIT TIDAK MENULAR PADA USIA PRODUKTIF","type":"article-journal","volume":"4"},"uris":["http://www.mendeley.com/documents/?uuid=e0619993-563e-4b77-b752-19d8183caf24"]}],"mendeley":{"formattedCitation":"(13)","plainTextFormattedCitation":"(13)","previouslyFormattedCitation":"(13)"},"properties":{"noteIndex":0},"schema":"https://github.com/citation-style-language/schema/raw/master/csl-citation.json"}</w:instrText>
      </w:r>
      <w:r w:rsidR="005F6061">
        <w:rPr>
          <w:rFonts w:ascii="Arial" w:hAnsi="Arial" w:cs="Arial"/>
          <w:lang w:val="en-US"/>
        </w:rPr>
        <w:fldChar w:fldCharType="separate"/>
      </w:r>
      <w:r w:rsidR="005F6061" w:rsidRPr="005F6061">
        <w:rPr>
          <w:rFonts w:ascii="Arial" w:hAnsi="Arial" w:cs="Arial"/>
          <w:noProof/>
          <w:lang w:val="en-US"/>
        </w:rPr>
        <w:t>(13)</w:t>
      </w:r>
      <w:r w:rsidR="005F6061">
        <w:rPr>
          <w:rFonts w:ascii="Arial" w:hAnsi="Arial" w:cs="Arial"/>
          <w:lang w:val="en-US"/>
        </w:rPr>
        <w:fldChar w:fldCharType="end"/>
      </w:r>
      <w:r w:rsidRPr="00C14F98">
        <w:rPr>
          <w:rFonts w:ascii="Arial" w:hAnsi="Arial" w:cs="Arial"/>
          <w:lang w:val="en-US"/>
        </w:rPr>
        <w:t>.</w:t>
      </w:r>
      <w:r w:rsidR="005F6061">
        <w:rPr>
          <w:rFonts w:ascii="Arial" w:hAnsi="Arial" w:cs="Arial"/>
          <w:lang w:val="en-US"/>
        </w:rPr>
        <w:t xml:space="preserve"> </w:t>
      </w:r>
      <w:r w:rsidR="006A5046">
        <w:rPr>
          <w:rFonts w:ascii="Arial" w:hAnsi="Arial" w:cs="Arial"/>
          <w:lang w:val="en-US"/>
        </w:rPr>
        <w:t>P</w:t>
      </w:r>
      <w:r w:rsidR="006A5046">
        <w:rPr>
          <w:rFonts w:ascii="Arial" w:hAnsi="Arial" w:cs="Arial" w:hint="eastAsia"/>
          <w:lang w:val="en-US"/>
        </w:rPr>
        <w:t xml:space="preserve">encegahan diabetes mellitus tipe 2 </w:t>
      </w:r>
      <w:r w:rsidR="006A5046" w:rsidRPr="006A5046">
        <w:rPr>
          <w:rFonts w:ascii="Arial" w:hAnsi="Arial" w:cs="Arial" w:hint="eastAsia"/>
          <w:lang w:val="en-US"/>
        </w:rPr>
        <w:t xml:space="preserve">pada </w:t>
      </w:r>
      <w:r w:rsidR="006A5046">
        <w:rPr>
          <w:rFonts w:ascii="Arial" w:hAnsi="Arial" w:cs="Arial"/>
          <w:lang w:val="en-US"/>
        </w:rPr>
        <w:t>dengan cara m</w:t>
      </w:r>
      <w:r w:rsidR="006A5046" w:rsidRPr="006A5046">
        <w:rPr>
          <w:rFonts w:ascii="Arial" w:hAnsi="Arial" w:cs="Arial"/>
          <w:lang w:val="en-US"/>
        </w:rPr>
        <w:t>odifikasi gaya hidup</w:t>
      </w:r>
      <w:r w:rsidR="006A5046">
        <w:rPr>
          <w:rFonts w:ascii="Arial" w:hAnsi="Arial" w:cs="Arial"/>
          <w:lang w:val="en-US"/>
        </w:rPr>
        <w:t>. Contoh p</w:t>
      </w:r>
      <w:r w:rsidR="006A5046" w:rsidRPr="006A5046">
        <w:rPr>
          <w:rFonts w:ascii="Arial" w:hAnsi="Arial" w:cs="Arial"/>
          <w:lang w:val="en-US"/>
        </w:rPr>
        <w:t>erbaikan pola makan</w:t>
      </w:r>
      <w:r w:rsidR="006A5046">
        <w:rPr>
          <w:rFonts w:ascii="Arial" w:hAnsi="Arial" w:cs="Arial"/>
          <w:lang w:val="en-US"/>
        </w:rPr>
        <w:t>, p</w:t>
      </w:r>
      <w:r w:rsidR="006A5046" w:rsidRPr="006A5046">
        <w:rPr>
          <w:rFonts w:ascii="Arial" w:hAnsi="Arial" w:cs="Arial"/>
          <w:lang w:val="en-US"/>
        </w:rPr>
        <w:t>eningkatan aktivitas fisik</w:t>
      </w:r>
      <w:r w:rsidR="006A5046">
        <w:rPr>
          <w:rFonts w:ascii="Arial" w:hAnsi="Arial" w:cs="Arial"/>
          <w:lang w:val="en-US"/>
        </w:rPr>
        <w:t>, k</w:t>
      </w:r>
      <w:r w:rsidR="006A5046" w:rsidRPr="006A5046">
        <w:rPr>
          <w:rFonts w:ascii="Arial" w:hAnsi="Arial" w:cs="Arial"/>
          <w:lang w:val="en-US"/>
        </w:rPr>
        <w:t>ombinasi ini lebih efektif dibanding hanya diet a</w:t>
      </w:r>
      <w:r w:rsidR="006A5046">
        <w:rPr>
          <w:rFonts w:ascii="Arial" w:hAnsi="Arial" w:cs="Arial"/>
          <w:lang w:val="en-US"/>
        </w:rPr>
        <w:t>tau hanya olahraga saja, karena o</w:t>
      </w:r>
      <w:r w:rsidR="006A5046" w:rsidRPr="006A5046">
        <w:rPr>
          <w:rFonts w:ascii="Arial" w:hAnsi="Arial" w:cs="Arial"/>
          <w:lang w:val="en-US"/>
        </w:rPr>
        <w:t>lahraga bisa meningkatkan nafsu makan (kompensasi energi).</w:t>
      </w:r>
      <w:r w:rsidR="006A5046">
        <w:rPr>
          <w:rFonts w:ascii="Arial" w:hAnsi="Arial" w:cs="Arial"/>
          <w:lang w:val="en-US"/>
        </w:rPr>
        <w:t xml:space="preserve"> </w:t>
      </w:r>
      <w:r w:rsidR="006A5046" w:rsidRPr="006A5046">
        <w:rPr>
          <w:rFonts w:ascii="Arial" w:hAnsi="Arial" w:cs="Arial"/>
          <w:lang w:val="en-US"/>
        </w:rPr>
        <w:t>Diet ketat saja bi</w:t>
      </w:r>
      <w:r w:rsidR="006A5046">
        <w:rPr>
          <w:rFonts w:ascii="Arial" w:hAnsi="Arial" w:cs="Arial"/>
          <w:lang w:val="en-US"/>
        </w:rPr>
        <w:t xml:space="preserve">sa menurunkan metabolisme basal. </w:t>
      </w:r>
      <w:r w:rsidR="006A5046" w:rsidRPr="006A5046">
        <w:rPr>
          <w:rFonts w:ascii="Arial" w:hAnsi="Arial" w:cs="Arial"/>
          <w:lang w:val="en-US"/>
        </w:rPr>
        <w:t xml:space="preserve">Aktivitas fisik </w:t>
      </w:r>
      <w:r w:rsidR="006A5046">
        <w:rPr>
          <w:rFonts w:ascii="Arial" w:hAnsi="Arial" w:cs="Arial"/>
          <w:lang w:val="en-US"/>
        </w:rPr>
        <w:t>memberikan manfaat ganda, yaitu m</w:t>
      </w:r>
      <w:r w:rsidR="006A5046" w:rsidRPr="006A5046">
        <w:rPr>
          <w:rFonts w:ascii="Arial" w:hAnsi="Arial" w:cs="Arial"/>
          <w:lang w:val="en-US"/>
        </w:rPr>
        <w:t>emb</w:t>
      </w:r>
      <w:r w:rsidR="006A5046">
        <w:rPr>
          <w:rFonts w:ascii="Arial" w:hAnsi="Arial" w:cs="Arial"/>
          <w:lang w:val="en-US"/>
        </w:rPr>
        <w:t>antu penurunan berat badan, dan m</w:t>
      </w:r>
      <w:r w:rsidR="006A5046" w:rsidRPr="006A5046">
        <w:rPr>
          <w:rFonts w:ascii="Arial" w:hAnsi="Arial" w:cs="Arial"/>
          <w:lang w:val="en-US"/>
        </w:rPr>
        <w:t xml:space="preserve">eningkatkan sensitivitas insulin, </w:t>
      </w:r>
      <w:r w:rsidR="006A5046">
        <w:rPr>
          <w:rFonts w:ascii="Arial" w:hAnsi="Arial" w:cs="Arial"/>
          <w:lang w:val="en-US"/>
        </w:rPr>
        <w:t xml:space="preserve">maupun </w:t>
      </w:r>
      <w:r w:rsidR="006A5046" w:rsidRPr="006A5046">
        <w:rPr>
          <w:rFonts w:ascii="Arial" w:hAnsi="Arial" w:cs="Arial"/>
          <w:lang w:val="en-US"/>
        </w:rPr>
        <w:t>lemak tubuh.</w:t>
      </w:r>
      <w:r w:rsidR="006A5046">
        <w:rPr>
          <w:rFonts w:ascii="Arial" w:hAnsi="Arial" w:cs="Arial"/>
          <w:lang w:val="en-US"/>
        </w:rPr>
        <w:t xml:space="preserve"> Aktivitas fisik m</w:t>
      </w:r>
      <w:r w:rsidR="006A5046" w:rsidRPr="006A5046">
        <w:rPr>
          <w:rFonts w:ascii="Arial" w:hAnsi="Arial" w:cs="Arial"/>
          <w:lang w:val="en-US"/>
        </w:rPr>
        <w:t>inimal</w:t>
      </w:r>
      <w:r w:rsidR="005F6061">
        <w:rPr>
          <w:rFonts w:ascii="Arial" w:hAnsi="Arial" w:cs="Arial"/>
          <w:lang w:val="en-US"/>
        </w:rPr>
        <w:t xml:space="preserve"> 30 menit/hari aktivitas sedang hingga </w:t>
      </w:r>
      <w:r w:rsidR="006A5046" w:rsidRPr="006A5046">
        <w:rPr>
          <w:rFonts w:ascii="Arial" w:hAnsi="Arial" w:cs="Arial"/>
          <w:lang w:val="en-US"/>
        </w:rPr>
        <w:t>berat</w:t>
      </w:r>
      <w:r w:rsidR="005B0435">
        <w:rPr>
          <w:rFonts w:ascii="Arial" w:hAnsi="Arial" w:cs="Arial"/>
          <w:lang w:val="en-US"/>
        </w:rPr>
        <w:fldChar w:fldCharType="begin" w:fldLock="1"/>
      </w:r>
      <w:r w:rsidR="005F6061">
        <w:rPr>
          <w:rFonts w:ascii="Arial" w:hAnsi="Arial" w:cs="Arial"/>
          <w:lang w:val="en-US"/>
        </w:rPr>
        <w:instrText>ADDIN CSL_CITATION {"citationItems":[{"id":"ITEM-1","itemData":{"DOI":"10.2147/DMSO.S284401","ISSN":"11787007","abstract":"The ongoing obesity epidemic in children and adolescents has greatly increased the prevalence of related comorbidities. Prediabetes is defined based on levels of fasting glucose, oral glucose tolerance tests or hemoglobin A1c, that are intermediate between normal levels and thresholds that define type 2 diabetes mellitus (T2DM). As such, prediabetes represents a sign of early pathophysiology preceding T2DM development. Recent analyses of data from US adolescents estimate prediabetes to be present in 4–23% of adolescents, depending on criteria used, with other studies finding an 8% risk of progression from prediabetes to T2DM over a 3-year period. These data support the importance of intervention to avoid long-term sequelae, focusing on reducing degree of obesity and insulin resistance. Lifestyle modification, with increases in physical activity and dietary improvements, remains the first-line approach. Other interventions are based on additional long-term risks and range from metformin treatment for more moderate cases of prediabetes to bariatric surgery for adolescents with severe obesity and comorbidities. As data accumulate regarding sequelae of T2DM in adolescents, there remains a critical need for prevention of obesity and T2DM throughout childhood, and prediabetes should be a trigger for improving this risk profile.","author":[{"dropping-particle":"","family":"Zuniga","given":"Rebeca Esquivel","non-dropping-particle":"","parse-names":false,"suffix":""},{"dropping-particle":"","family":"Deboer","given":"Mark D.","non-dropping-particle":"","parse-names":false,"suffix":""}],"container-title":"Diabetes, Metabolic Syndrome and Obesity","id":"ITEM-1","issued":{"date-parts":[["2021"]]},"page":"4609-4619","title":"Prediabetes in adolescents: Prevalence, management and diabetes prevention strategies","type":"article-journal","volume":"14"},"uris":["http://www.mendeley.com/documents/?uuid=87bc88f6-42c2-47ca-a5eb-c558c909b4f9"]}],"mendeley":{"formattedCitation":"(14)","plainTextFormattedCitation":"(14)","previouslyFormattedCitation":"(14)"},"properties":{"noteIndex":0},"schema":"https://github.com/citation-style-language/schema/raw/master/csl-citation.json"}</w:instrText>
      </w:r>
      <w:r w:rsidR="005B0435">
        <w:rPr>
          <w:rFonts w:ascii="Arial" w:hAnsi="Arial" w:cs="Arial"/>
          <w:lang w:val="en-US"/>
        </w:rPr>
        <w:fldChar w:fldCharType="separate"/>
      </w:r>
      <w:r w:rsidR="005F6061" w:rsidRPr="005F6061">
        <w:rPr>
          <w:rFonts w:ascii="Arial" w:hAnsi="Arial" w:cs="Arial"/>
          <w:noProof/>
          <w:lang w:val="en-US"/>
        </w:rPr>
        <w:t>(14)</w:t>
      </w:r>
      <w:r w:rsidR="005B0435">
        <w:rPr>
          <w:rFonts w:ascii="Arial" w:hAnsi="Arial" w:cs="Arial"/>
          <w:lang w:val="en-US"/>
        </w:rPr>
        <w:fldChar w:fldCharType="end"/>
      </w:r>
      <w:r w:rsidR="006A5046" w:rsidRPr="006A5046">
        <w:rPr>
          <w:rFonts w:ascii="Arial" w:hAnsi="Arial" w:cs="Arial"/>
          <w:lang w:val="en-US"/>
        </w:rPr>
        <w:t>.</w:t>
      </w:r>
      <w:r w:rsidR="005B0435" w:rsidRPr="005B0435">
        <w:t xml:space="preserve"> </w:t>
      </w:r>
    </w:p>
    <w:p w:rsidR="006A5046" w:rsidRDefault="005B0435" w:rsidP="006A5046">
      <w:pPr>
        <w:pStyle w:val="IEEEParagraph"/>
        <w:ind w:left="288" w:firstLine="0"/>
        <w:rPr>
          <w:rFonts w:ascii="Arial" w:hAnsi="Arial" w:cs="Arial"/>
          <w:lang w:val="en-US"/>
        </w:rPr>
      </w:pPr>
      <w:r>
        <w:t xml:space="preserve">        </w:t>
      </w:r>
      <w:r w:rsidRPr="005B0435">
        <w:rPr>
          <w:rFonts w:ascii="Arial" w:hAnsi="Arial" w:cs="Arial"/>
          <w:lang w:val="en-US"/>
        </w:rPr>
        <w:t>Prediabetes merupakan kondisi ketika kadar glukosa darah berada di atas nilai normal namun belum memenuhi kriteria diagnosis diabetes, y</w:t>
      </w:r>
      <w:r w:rsidR="00EA0DE4">
        <w:rPr>
          <w:rFonts w:ascii="Arial" w:hAnsi="Arial" w:cs="Arial"/>
          <w:lang w:val="en-US"/>
        </w:rPr>
        <w:t>akni pada kisaran 140–199 mg/dL</w:t>
      </w:r>
      <w:r w:rsidRPr="005B0435">
        <w:rPr>
          <w:rFonts w:ascii="Arial" w:hAnsi="Arial" w:cs="Arial"/>
          <w:lang w:val="en-US"/>
        </w:rPr>
        <w:t>. Kondisi ini terjadi akibat gangguan sekresi insulin, resistensi insulin, atau kombinasi keduanya, yang secara klinis mencakup Glukosa Darah Puasa Terganggu (GDPT) dan Toleransi Glukosa Terganggu (TGT). Faktor risiko prediabetes meliputi predisposisi genetik, pertambahan usia, obesitas, serta pola hidup yang tidak sehat. Penatalaksanaan prediabetes difokuskan pada modifikasi gaya hidup, termasuk perbaikan pola makan dan peningkatan aktivitas fisik secara teratur</w:t>
      </w:r>
      <w:r w:rsidR="00EA0DE4">
        <w:rPr>
          <w:rFonts w:ascii="Arial" w:hAnsi="Arial" w:cs="Arial"/>
          <w:lang w:val="en-US"/>
        </w:rPr>
        <w:fldChar w:fldCharType="begin" w:fldLock="1"/>
      </w:r>
      <w:r w:rsidR="00EA0DE4">
        <w:rPr>
          <w:rFonts w:ascii="Arial" w:hAnsi="Arial" w:cs="Arial"/>
          <w:lang w:val="en-US"/>
        </w:rPr>
        <w:instrText>ADDIN CSL_CITATION {"citationItems":[{"id":"ITEM-1","itemData":{"DOI":"10.59110/rcsd.537","abstract":"Prevalensi Penyakit Tidak Menular (PTM) di Indonesia terus meningkat akibat perubahan gaya hidup dan urbanisasi. PTM tidak hanya menyerang usia lanjut, tetapi juga dapat terjadi pada usia muda. Pengabdian kepada masyarakat ini bertujuan untuk mendukung implementasi skrining PTM pada kelompok remaja Karang Taruna Tunas Harapan guna meningkatkan kesadaran akan pentingnya kesehatan sejak dini. Skrining dilakukan terhadap 24 peserta berusia 19–33 tahun menggunakan metode pengukuran antropometri (tinggi badan, berat badan, lingkar lengan atas), tekanan darah, kadar hemoglobin, serta kadar gula darah sewaktu dengan alat Easy Touch GCU. Hasil skrining menunjukkan bahwa 29,2% peserta memiliki status gizi kurang, 12,5% obesitas, 6,7% mengalami anemia, 11,1% terindikasi prediabetik, dan 8,4% mengalami hipertensi tingkat 1. Tindak lanjut dilakukan melalui edukasi kesehatan mengenai PTM, anemia, serta pengaturan pola makan dan gaya hidup. Tablet tambah darah diberikan kepada remaja putri sebagai langkah pencegahan anemia. Diperlukan dukungan dari pemerintah desa dan Karang Taruna dalam mengoptimalkan posyandu remaja agar kegiatan ini berkelanjutan. Program ini dapat menjadi model dalam deteksi dini PTM berbasis komunitas untuk meningkatkan kesehatan remaja secara berkelanjutan.","author":[{"dropping-particle":"","family":"Fadhilah","given":"Siti","non-dropping-particle":"","parse-names":false,"suffix":""},{"dropping-particle":"","family":"Rusliani","given":"Dian Monalisa","non-dropping-particle":"","parse-names":false,"suffix":""},{"dropping-particle":"","family":"Nuryati","given":"Arum","non-dropping-particle":"","parse-names":false,"suffix":""},{"dropping-particle":"","family":"Suryantara","given":"Bima","non-dropping-particle":"","parse-names":false,"suffix":""}],"container-title":"Room of Civil Society Development","id":"ITEM-1","issue":"1","issued":{"date-parts":[["2025"]]},"page":"222-233","title":"Deteksi Dini Faktor Risiko Penyakit Tidak Menular pada Remaja Karang Taruna: Skrining dan Upaya Pencegahan","type":"article-journal","volume":"4"},"uris":["http://www.mendeley.com/documents/?uuid=36b7f7f6-eae1-4d09-b063-a5318ddc2ad9"]}],"mendeley":{"formattedCitation":"(2)","plainTextFormattedCitation":"(2)","previouslyFormattedCitation":"(2)"},"properties":{"noteIndex":0},"schema":"https://github.com/citation-style-language/schema/raw/master/csl-citation.json"}</w:instrText>
      </w:r>
      <w:r w:rsidR="00EA0DE4">
        <w:rPr>
          <w:rFonts w:ascii="Arial" w:hAnsi="Arial" w:cs="Arial"/>
          <w:lang w:val="en-US"/>
        </w:rPr>
        <w:fldChar w:fldCharType="separate"/>
      </w:r>
      <w:r w:rsidR="00EA0DE4" w:rsidRPr="00EA0DE4">
        <w:rPr>
          <w:rFonts w:ascii="Arial" w:hAnsi="Arial" w:cs="Arial"/>
          <w:noProof/>
          <w:lang w:val="en-US"/>
        </w:rPr>
        <w:t>(2)</w:t>
      </w:r>
      <w:r w:rsidR="00EA0DE4">
        <w:rPr>
          <w:rFonts w:ascii="Arial" w:hAnsi="Arial" w:cs="Arial"/>
          <w:lang w:val="en-US"/>
        </w:rPr>
        <w:fldChar w:fldCharType="end"/>
      </w:r>
      <w:r w:rsidRPr="005B0435">
        <w:rPr>
          <w:rFonts w:ascii="Arial" w:hAnsi="Arial" w:cs="Arial"/>
          <w:lang w:val="en-US"/>
        </w:rPr>
        <w:t>.</w:t>
      </w:r>
    </w:p>
    <w:p w:rsidR="005B0435" w:rsidRDefault="005B0435" w:rsidP="006A5046">
      <w:pPr>
        <w:pStyle w:val="IEEEParagraph"/>
        <w:ind w:left="288" w:firstLine="0"/>
        <w:rPr>
          <w:rFonts w:ascii="Arial" w:hAnsi="Arial" w:cs="Arial"/>
          <w:lang w:val="en-US"/>
        </w:rPr>
      </w:pPr>
    </w:p>
    <w:p w:rsidR="005B0435" w:rsidRPr="005B0435" w:rsidRDefault="005B0435" w:rsidP="006A5046">
      <w:pPr>
        <w:pStyle w:val="IEEEParagraph"/>
        <w:ind w:left="288" w:firstLine="0"/>
        <w:rPr>
          <w:rFonts w:ascii="Arial" w:hAnsi="Arial" w:cs="Arial"/>
          <w:b/>
          <w:lang w:val="en-US"/>
        </w:rPr>
      </w:pPr>
      <w:r w:rsidRPr="005B0435">
        <w:rPr>
          <w:rFonts w:ascii="Arial" w:hAnsi="Arial" w:cs="Arial"/>
          <w:b/>
          <w:lang w:val="en-US"/>
        </w:rPr>
        <w:t>Berat badan remaja</w:t>
      </w:r>
    </w:p>
    <w:p w:rsidR="00B9238B" w:rsidRPr="00B9238B" w:rsidRDefault="005B0435" w:rsidP="00206BE4">
      <w:pPr>
        <w:pStyle w:val="IEEEParagraph"/>
        <w:ind w:left="288" w:firstLine="0"/>
        <w:rPr>
          <w:rFonts w:ascii="Arial" w:hAnsi="Arial" w:cs="Arial"/>
          <w:lang w:val="en-US"/>
        </w:rPr>
      </w:pPr>
      <w:r>
        <w:rPr>
          <w:rFonts w:ascii="Arial" w:hAnsi="Arial" w:cs="Arial"/>
          <w:lang w:val="en-US"/>
        </w:rPr>
        <w:t xml:space="preserve">       </w:t>
      </w:r>
      <w:r w:rsidRPr="005B0435">
        <w:rPr>
          <w:rFonts w:ascii="Arial" w:hAnsi="Arial" w:cs="Arial"/>
          <w:lang w:val="en-US"/>
        </w:rPr>
        <w:t>Obesitas merupakan kondisi multifaktorial yang dipengaruhi oleh berbagai faktor, antara lain pola konsumsi makanan tinggi kalori, lemak, dan gula, rendahnya aktivitas fisik, faktor keturunan seperti riwayat obesitas pada orang tua, aspek psikologis, serta kua</w:t>
      </w:r>
      <w:r>
        <w:rPr>
          <w:rFonts w:ascii="Arial" w:hAnsi="Arial" w:cs="Arial"/>
          <w:lang w:val="en-US"/>
        </w:rPr>
        <w:t>litas tidur yang kurang optimal</w:t>
      </w:r>
      <w:r>
        <w:rPr>
          <w:rFonts w:ascii="Arial" w:hAnsi="Arial" w:cs="Arial"/>
          <w:lang w:val="en-US"/>
        </w:rPr>
        <w:fldChar w:fldCharType="begin" w:fldLock="1"/>
      </w:r>
      <w:r w:rsidR="00EA0DE4">
        <w:rPr>
          <w:rFonts w:ascii="Arial" w:hAnsi="Arial" w:cs="Arial"/>
          <w:lang w:val="en-US"/>
        </w:rPr>
        <w:instrText>ADDIN CSL_CITATION {"citationItems":[{"id":"ITEM-1","itemData":{"DOI":"10.59110/rcsd.537","abstract":"Prevalensi Penyakit Tidak Menular (PTM) di Indonesia terus meningkat akibat perubahan gaya hidup dan urbanisasi. PTM tidak hanya menyerang usia lanjut, tetapi juga dapat terjadi pada usia muda. Pengabdian kepada masyarakat ini bertujuan untuk mendukung implementasi skrining PTM pada kelompok remaja Karang Taruna Tunas Harapan guna meningkatkan kesadaran akan pentingnya kesehatan sejak dini. Skrining dilakukan terhadap 24 peserta berusia 19–33 tahun menggunakan metode pengukuran antropometri (tinggi badan, berat badan, lingkar lengan atas), tekanan darah, kadar hemoglobin, serta kadar gula darah sewaktu dengan alat Easy Touch GCU. Hasil skrining menunjukkan bahwa 29,2% peserta memiliki status gizi kurang, 12,5% obesitas, 6,7% mengalami anemia, 11,1% terindikasi prediabetik, dan 8,4% mengalami hipertensi tingkat 1. Tindak lanjut dilakukan melalui edukasi kesehatan mengenai PTM, anemia, serta pengaturan pola makan dan gaya hidup. Tablet tambah darah diberikan kepada remaja putri sebagai langkah pencegahan anemia. Diperlukan dukungan dari pemerintah desa dan Karang Taruna dalam mengoptimalkan posyandu remaja agar kegiatan ini berkelanjutan. Program ini dapat menjadi model dalam deteksi dini PTM berbasis komunitas untuk meningkatkan kesehatan remaja secara berkelanjutan.","author":[{"dropping-particle":"","family":"Fadhilah","given":"Siti","non-dropping-particle":"","parse-names":false,"suffix":""},{"dropping-particle":"","family":"Rusliani","given":"Dian Monalisa","non-dropping-particle":"","parse-names":false,"suffix":""},{"dropping-particle":"","family":"Nuryati","given":"Arum","non-dropping-particle":"","parse-names":false,"suffix":""},{"dropping-particle":"","family":"Suryantara","given":"Bima","non-dropping-particle":"","parse-names":false,"suffix":""}],"container-title":"Room of Civil Society Development","id":"ITEM-1","issue":"1","issued":{"date-parts":[["2025"]]},"page":"222-233","title":"Deteksi Dini Faktor Risiko Penyakit Tidak Menular pada Remaja Karang Taruna: Skrining dan Upaya Pencegahan","type":"article-journal","volume":"4"},"uris":["http://www.mendeley.com/documents/?uuid=36b7f7f6-eae1-4d09-b063-a5318ddc2ad9"]}],"mendeley":{"formattedCitation":"(2)","plainTextFormattedCitation":"(2)","previouslyFormattedCitation":"(2)"},"properties":{"noteIndex":0},"schema":"https://github.com/citation-style-language/schema/raw/master/csl-citation.json"}</w:instrText>
      </w:r>
      <w:r>
        <w:rPr>
          <w:rFonts w:ascii="Arial" w:hAnsi="Arial" w:cs="Arial"/>
          <w:lang w:val="en-US"/>
        </w:rPr>
        <w:fldChar w:fldCharType="separate"/>
      </w:r>
      <w:r w:rsidRPr="005B0435">
        <w:rPr>
          <w:rFonts w:ascii="Arial" w:hAnsi="Arial" w:cs="Arial"/>
          <w:noProof/>
          <w:lang w:val="en-US"/>
        </w:rPr>
        <w:t>(2)</w:t>
      </w:r>
      <w:r>
        <w:rPr>
          <w:rFonts w:ascii="Arial" w:hAnsi="Arial" w:cs="Arial"/>
          <w:lang w:val="en-US"/>
        </w:rPr>
        <w:fldChar w:fldCharType="end"/>
      </w:r>
      <w:r>
        <w:rPr>
          <w:rFonts w:ascii="Arial" w:hAnsi="Arial" w:cs="Arial"/>
          <w:lang w:val="en-US"/>
        </w:rPr>
        <w:t xml:space="preserve">. </w:t>
      </w:r>
      <w:r w:rsidR="00C14F98" w:rsidRPr="00C14F98">
        <w:rPr>
          <w:rFonts w:ascii="Arial" w:hAnsi="Arial" w:cs="Arial"/>
          <w:lang w:val="en-US"/>
        </w:rPr>
        <w:t xml:space="preserve">Remaja perlu mempertahankan status gizi yang optimal guna mencegah </w:t>
      </w:r>
      <w:r w:rsidR="00C14F98">
        <w:rPr>
          <w:rFonts w:ascii="Arial" w:hAnsi="Arial" w:cs="Arial"/>
          <w:lang w:val="en-US"/>
        </w:rPr>
        <w:t xml:space="preserve">peningkatan kadar gula darah dimasa depan dan </w:t>
      </w:r>
      <w:r w:rsidR="00C14F98" w:rsidRPr="00C14F98">
        <w:rPr>
          <w:rFonts w:ascii="Arial" w:hAnsi="Arial" w:cs="Arial"/>
          <w:lang w:val="en-US"/>
        </w:rPr>
        <w:t xml:space="preserve">berpotensi berkembang </w:t>
      </w:r>
      <w:r w:rsidR="00C14F98" w:rsidRPr="00C14F98">
        <w:rPr>
          <w:rFonts w:ascii="Arial" w:hAnsi="Arial" w:cs="Arial"/>
          <w:lang w:val="en-US"/>
        </w:rPr>
        <w:lastRenderedPageBreak/>
        <w:t>menjadi diabetes. Meskipun kadar gula darah yang tinggi tidak selalu menunjukkan adanya diabetes, kondisi tersebut tetap harus diwaspadai</w:t>
      </w:r>
      <w:r w:rsidR="00C14F98">
        <w:rPr>
          <w:rFonts w:ascii="Arial" w:hAnsi="Arial" w:cs="Arial"/>
          <w:lang w:val="en-US"/>
        </w:rPr>
        <w:t xml:space="preserve">. </w:t>
      </w:r>
      <w:r w:rsidR="00C14F98" w:rsidRPr="00C14F98">
        <w:rPr>
          <w:rFonts w:ascii="Arial" w:hAnsi="Arial" w:cs="Arial"/>
          <w:lang w:val="en-US"/>
        </w:rPr>
        <w:t>Status gizi berlebih dapat mempengaruhi kadar gula darah</w:t>
      </w:r>
      <w:r w:rsidR="007A68BB">
        <w:rPr>
          <w:rFonts w:ascii="Arial" w:hAnsi="Arial" w:cs="Arial"/>
          <w:lang w:val="en-US"/>
        </w:rPr>
        <w:fldChar w:fldCharType="begin" w:fldLock="1"/>
      </w:r>
      <w:r w:rsidR="007A68BB">
        <w:rPr>
          <w:rFonts w:ascii="Arial" w:hAnsi="Arial" w:cs="Arial"/>
          <w:lang w:val="en-US"/>
        </w:rPr>
        <w:instrText>ADDIN CSL_CITATION {"citationItems":[{"id":"ITEM-1","itemData":{"author":[{"dropping-particle":"","family":"Lisnawati","given":"Naintina","non-dropping-particle":"","parse-names":false,"suffix":""},{"dropping-particle":"","family":"Kusmiyati","given":"Florentina","non-dropping-particle":"","parse-names":false,"suffix":""},{"dropping-particle":"","family":"Herwibawa","given":"Bagus","non-dropping-particle":"","parse-names":false,"suffix":""},{"dropping-particle":"","family":"Kristanto","given":"Budi Adi","non-dropping-particle":"","parse-names":false,"suffix":""},{"dropping-particle":"","family":"1","given":"Anggit Rizkika1","non-dropping-particle":"","parse-names":false,"suffix":""}],"container-title":"Journal of Nutrition College","id":"ITEM-1","issue":"April","issued":{"date-parts":[["2023"]]},"page":"168-178","title":"Diabetes merupakan salah satu penyakit kronis yang menjadi masalah prioritas dunia untuk segera ditangani . Data World Health Organization ( WHO ) menunjukkan bahwa secara global penderita Prevalensi Diabetes Mellitus Tipe 2 pada anak-anak dan remaja di b","type":"article-journal","volume":"12"},"uris":["http://www.mendeley.com/documents/?uuid=c4a9b10c-55fb-4409-b659-3389e675ffdd"]}],"mendeley":{"formattedCitation":"(15)","plainTextFormattedCitation":"(15)"},"properties":{"noteIndex":0},"schema":"https://github.com/citation-style-language/schema/raw/master/csl-citation.json"}</w:instrText>
      </w:r>
      <w:r w:rsidR="007A68BB">
        <w:rPr>
          <w:rFonts w:ascii="Arial" w:hAnsi="Arial" w:cs="Arial"/>
          <w:lang w:val="en-US"/>
        </w:rPr>
        <w:fldChar w:fldCharType="separate"/>
      </w:r>
      <w:r w:rsidR="007A68BB" w:rsidRPr="007A68BB">
        <w:rPr>
          <w:rFonts w:ascii="Arial" w:hAnsi="Arial" w:cs="Arial"/>
          <w:noProof/>
          <w:lang w:val="en-US"/>
        </w:rPr>
        <w:t>(15)</w:t>
      </w:r>
      <w:r w:rsidR="007A68BB">
        <w:rPr>
          <w:rFonts w:ascii="Arial" w:hAnsi="Arial" w:cs="Arial"/>
          <w:lang w:val="en-US"/>
        </w:rPr>
        <w:fldChar w:fldCharType="end"/>
      </w:r>
      <w:r w:rsidR="00C14F98" w:rsidRPr="00C14F98">
        <w:rPr>
          <w:rFonts w:ascii="Arial" w:hAnsi="Arial" w:cs="Arial"/>
          <w:lang w:val="en-US"/>
        </w:rPr>
        <w:t>.</w:t>
      </w:r>
      <w:r w:rsidR="00206BE4" w:rsidRPr="00206BE4">
        <w:t xml:space="preserve"> </w:t>
      </w:r>
      <w:r w:rsidR="00206BE4" w:rsidRPr="00206BE4">
        <w:rPr>
          <w:rFonts w:ascii="Arial" w:hAnsi="Arial" w:cs="Arial"/>
          <w:lang w:val="en-US"/>
        </w:rPr>
        <w:t>Obesitas berkaitan erat dengan penumpukan lemak tubuh yang berlebihan. Jaringan lemak memiliki hubungan dengan kerja hormon insulin dalam proses metabolisme, sehingga kelebihan lemak dapat mengganggu sensitivitas insulin. Kondisi ini memicu terjadinya resistensi insulin yang pada akhirnya dapat menyebabkan intoleransi glukosa</w:t>
      </w:r>
      <w:r w:rsidR="00206BE4">
        <w:rPr>
          <w:rFonts w:ascii="Arial" w:hAnsi="Arial" w:cs="Arial"/>
          <w:lang w:val="en-US"/>
        </w:rPr>
        <w:fldChar w:fldCharType="begin" w:fldLock="1"/>
      </w:r>
      <w:r w:rsidR="007A68BB">
        <w:rPr>
          <w:rFonts w:ascii="Arial" w:hAnsi="Arial" w:cs="Arial"/>
          <w:lang w:val="en-US"/>
        </w:rPr>
        <w:instrText>ADDIN CSL_CITATION {"citationItems":[{"id":"ITEM-1","itemData":{"author":[{"dropping-particle":"","family":"Lisnawati","given":"Naintina","non-dropping-particle":"","parse-names":false,"suffix":""},{"dropping-particle":"","family":"Kusmiyati","given":"Florentina","non-dropping-particle":"","parse-names":false,"suffix":""},{"dropping-particle":"","family":"Herwibawa","given":"Bagus","non-dropping-particle":"","parse-names":false,"suffix":""},{"dropping-particle":"","family":"Kristanto","given":"Budi Adi","non-dropping-particle":"","parse-names":false,"suffix":""},{"dropping-particle":"","family":"1","given":"Anggit Rizkika1","non-dropping-particle":"","parse-names":false,"suffix":""}],"container-title":"Journal of Nutrition College","id":"ITEM-1","issue":"April","issued":{"date-parts":[["2023"]]},"page":"168-178","title":"Diabetes merupakan salah satu penyakit kronis yang menjadi masalah prioritas dunia untuk segera ditangani . Data World Health Organization ( WHO ) menunjukkan bahwa secara global penderita Prevalensi Diabetes Mellitus Tipe 2 pada anak-anak dan remaja di b","type":"article-journal","volume":"12"},"uris":["http://www.mendeley.com/documents/?uuid=c4a9b10c-55fb-4409-b659-3389e675ffdd"]}],"mendeley":{"formattedCitation":"(15)","plainTextFormattedCitation":"(15)","previouslyFormattedCitation":"(15)"},"properties":{"noteIndex":0},"schema":"https://github.com/citation-style-language/schema/raw/master/csl-citation.json"}</w:instrText>
      </w:r>
      <w:r w:rsidR="00206BE4">
        <w:rPr>
          <w:rFonts w:ascii="Arial" w:hAnsi="Arial" w:cs="Arial"/>
          <w:lang w:val="en-US"/>
        </w:rPr>
        <w:fldChar w:fldCharType="separate"/>
      </w:r>
      <w:r w:rsidR="005F6061" w:rsidRPr="005F6061">
        <w:rPr>
          <w:rFonts w:ascii="Arial" w:hAnsi="Arial" w:cs="Arial"/>
          <w:noProof/>
          <w:lang w:val="en-US"/>
        </w:rPr>
        <w:t>(15)</w:t>
      </w:r>
      <w:r w:rsidR="00206BE4">
        <w:rPr>
          <w:rFonts w:ascii="Arial" w:hAnsi="Arial" w:cs="Arial"/>
          <w:lang w:val="en-US"/>
        </w:rPr>
        <w:fldChar w:fldCharType="end"/>
      </w:r>
      <w:r w:rsidR="00206BE4" w:rsidRPr="00206BE4">
        <w:rPr>
          <w:rFonts w:ascii="Arial" w:hAnsi="Arial" w:cs="Arial"/>
          <w:lang w:val="en-US"/>
        </w:rPr>
        <w:t>.</w:t>
      </w:r>
      <w:r w:rsidR="00206BE4">
        <w:rPr>
          <w:rFonts w:ascii="Arial" w:hAnsi="Arial" w:cs="Arial"/>
          <w:lang w:val="en-US"/>
        </w:rPr>
        <w:t xml:space="preserve"> </w:t>
      </w:r>
      <w:r w:rsidR="0034555E" w:rsidRPr="0034555E">
        <w:rPr>
          <w:rFonts w:ascii="Arial" w:hAnsi="Arial" w:cs="Arial"/>
          <w:lang w:val="en-US"/>
        </w:rPr>
        <w:t>Remaja yang mengalami kelebihan berat badan atau obesitas dilaporkan memiliki kemungkinan 4,6 kali lebih tinggi untuk mengembangkan prehipertensi dibandingkan remaja dengan berat badan normal</w:t>
      </w:r>
      <w:r w:rsidR="0034555E">
        <w:rPr>
          <w:rFonts w:ascii="Arial" w:hAnsi="Arial" w:cs="Arial"/>
          <w:lang w:val="en-US"/>
        </w:rPr>
        <w:fldChar w:fldCharType="begin" w:fldLock="1"/>
      </w:r>
      <w:r w:rsidR="0034555E">
        <w:rPr>
          <w:rFonts w:ascii="Arial" w:hAnsi="Arial" w:cs="Arial"/>
          <w:lang w:val="en-US"/>
        </w:rPr>
        <w:instrText>ADDIN CSL_CITATION {"citationItems":[{"id":"ITEM-1","itemData":{"DOI":"10.31004/jkt.v5i4.27065","ISSN":"2777-0524","abstract":"Prehipertensi pada remaja merupakan masalah kesehatan penting yang berpotensi meningkatkan risiko hipertensi dan penyakit kardiovaskular di masa dewasa. Berbagai faktor risiko prehipertensi telah diidentifikasi di berbagai negara, namun temuan penelitian bervariasi. Studi ini bertujuan untuk mengidentifikasi dan menganalisis faktor risiko prehipertensi pada remaja melalui telaah sistematik dan meta-analisis dari beberapa negara. Penelitian menggunakan metode telaah sistematik dan meta-analisis dengan penelusuran literatur pada database PubMed, ProQuest, dan ScienceDirect. Pencarian dibatasi pada publikasi lima tahun terakhir, dengan kriteria inklusi berupa penelitian faktor risiko prehipertensi pada remaja usia 10-19 tahun. Dari hasil analisis terhadap empat studi, ditemukan bahwa faktor risiko yang signifikan meliputi usia, jenis kelamin, obesitas, dan aktivitas fisik rendah. Remaja yang lebih tua, laki-laki, obesitas, dan kurang aktif secara fisik memiliki risiko lebih tinggi terhadap prehipertensi. Faktor risiko prehipertensi pada remaja dipengaruhi oleh usia, jenis kelamin, obesitas, dan tingkat aktivitas fisik. Pemahaman tentang faktor risiko ini penting untuk pengembangan strategi pencegahan dan pengendalian prehipertensi yang berpotensi berkembang menjadi hipertensi pada remaja.","author":[{"dropping-particle":"","family":"Lestari","given":"Annisa Ayu","non-dropping-particle":"","parse-names":false,"suffix":""},{"dropping-particle":"","family":"Syarif","given":"Syahrizal","non-dropping-particle":"","parse-names":false,"suffix":""}],"container-title":"Jurnal Kesehatan Tambusai","id":"ITEM-1","issue":"4","issued":{"date-parts":[["2024"]]},"page":"13906-13917","title":"Telaah Sistematik Dan Meta-Analisis : Faktor Risiko Prehipertensi Pada Remaja Di Beberapa Negara","type":"article-journal","volume":"5"},"uris":["http://www.mendeley.com/documents/?uuid=e1389177-68c0-4cd8-afbb-801de7fa5ddf"]}],"mendeley":{"formattedCitation":"(11)","plainTextFormattedCitation":"(11)","previouslyFormattedCitation":"(11)"},"properties":{"noteIndex":0},"schema":"https://github.com/citation-style-language/schema/raw/master/csl-citation.json"}</w:instrText>
      </w:r>
      <w:r w:rsidR="0034555E">
        <w:rPr>
          <w:rFonts w:ascii="Arial" w:hAnsi="Arial" w:cs="Arial"/>
          <w:lang w:val="en-US"/>
        </w:rPr>
        <w:fldChar w:fldCharType="separate"/>
      </w:r>
      <w:r w:rsidR="0034555E" w:rsidRPr="0034555E">
        <w:rPr>
          <w:rFonts w:ascii="Arial" w:hAnsi="Arial" w:cs="Arial"/>
          <w:noProof/>
          <w:lang w:val="en-US"/>
        </w:rPr>
        <w:t>(11)</w:t>
      </w:r>
      <w:r w:rsidR="0034555E">
        <w:rPr>
          <w:rFonts w:ascii="Arial" w:hAnsi="Arial" w:cs="Arial"/>
          <w:lang w:val="en-US"/>
        </w:rPr>
        <w:fldChar w:fldCharType="end"/>
      </w:r>
      <w:r w:rsidR="0034555E" w:rsidRPr="0034555E">
        <w:rPr>
          <w:rFonts w:ascii="Arial" w:hAnsi="Arial" w:cs="Arial"/>
          <w:lang w:val="en-US"/>
        </w:rPr>
        <w:t>.</w:t>
      </w:r>
    </w:p>
    <w:p w:rsidR="00206BE4" w:rsidRDefault="00206BE4" w:rsidP="006A5046">
      <w:pPr>
        <w:pStyle w:val="IEEEParagraph"/>
        <w:rPr>
          <w:rFonts w:ascii="Arial" w:hAnsi="Arial" w:cs="Arial"/>
          <w:b/>
          <w:lang w:val="en-US"/>
        </w:rPr>
      </w:pPr>
      <w:r>
        <w:rPr>
          <w:rFonts w:ascii="Arial" w:hAnsi="Arial" w:cs="Arial"/>
          <w:b/>
          <w:lang w:val="en-US"/>
        </w:rPr>
        <w:t xml:space="preserve"> </w:t>
      </w:r>
    </w:p>
    <w:p w:rsidR="0034555E" w:rsidRPr="006A5046" w:rsidRDefault="0034555E" w:rsidP="006A5046">
      <w:pPr>
        <w:pStyle w:val="IEEEParagraph"/>
        <w:rPr>
          <w:rFonts w:ascii="Arial" w:hAnsi="Arial" w:cs="Arial"/>
          <w:b/>
          <w:lang w:val="en-US"/>
        </w:rPr>
      </w:pPr>
      <w:r w:rsidRPr="006A5046">
        <w:rPr>
          <w:rFonts w:ascii="Arial" w:hAnsi="Arial" w:cs="Arial"/>
          <w:b/>
          <w:lang w:val="en-US"/>
        </w:rPr>
        <w:t>Peran sekolah dan orang tua  mencegah penyakit tidak menular</w:t>
      </w:r>
    </w:p>
    <w:p w:rsidR="00EA0DE4" w:rsidRDefault="006A5046" w:rsidP="006A5046">
      <w:pPr>
        <w:pStyle w:val="IEEEParagraph"/>
        <w:ind w:left="288" w:firstLine="0"/>
        <w:rPr>
          <w:rFonts w:ascii="Arial" w:hAnsi="Arial" w:cs="Arial"/>
          <w:lang w:val="en-US"/>
        </w:rPr>
      </w:pPr>
      <w:r>
        <w:rPr>
          <w:rFonts w:ascii="Arial" w:hAnsi="Arial" w:cs="Arial"/>
          <w:lang w:val="en-US"/>
        </w:rPr>
        <w:t xml:space="preserve">       </w:t>
      </w:r>
      <w:r w:rsidRPr="006A5046">
        <w:rPr>
          <w:rFonts w:ascii="Arial" w:hAnsi="Arial" w:cs="Arial"/>
          <w:lang w:val="en-US"/>
        </w:rPr>
        <w:t>Sekolah merupakan salah satu target strategis dalam upaya pencegahan dan pengendalian Penyakit Tidak Menular (PTM) pada kelompok usia sekolah. Intervensi pengendalian faktor risiko PTM di lingkungan sekolah mencakup pemeriksaan kesehatan berkala, penerapan kawasan bebas asap rokok, peningkatan aktivitas fisik secara rutin, penerapan pola makan sehat dan seimbang, pemenuhan kebutuhan istirahat yang cukup, serta pengelolaan stres. Upaya tersebut bertujuan mendorong peserta didik agar berperan sebagai agen perubahan bagi keluarga dan lingkungan sekitarnya, termasuk orang tua, saudara, tetangga, dan teman sebaya, dalam membudayakan perilaku hidup sehat yang berhubungan dengan faktor risiko PTM.</w:t>
      </w:r>
      <w:r>
        <w:rPr>
          <w:rFonts w:ascii="Arial" w:hAnsi="Arial" w:cs="Arial"/>
          <w:lang w:val="en-US"/>
        </w:rPr>
        <w:t xml:space="preserve"> K</w:t>
      </w:r>
      <w:r w:rsidR="0034555E">
        <w:rPr>
          <w:rFonts w:ascii="Arial" w:hAnsi="Arial" w:cs="Arial"/>
          <w:lang w:val="en-US"/>
        </w:rPr>
        <w:t xml:space="preserve">ehadiran </w:t>
      </w:r>
      <w:r w:rsidR="0034555E" w:rsidRPr="0034555E">
        <w:rPr>
          <w:rFonts w:ascii="Arial" w:hAnsi="Arial" w:cs="Arial"/>
          <w:lang w:val="en-US"/>
        </w:rPr>
        <w:t xml:space="preserve">sekolah dan dukungan </w:t>
      </w:r>
      <w:r w:rsidR="0034555E">
        <w:rPr>
          <w:rFonts w:ascii="Arial" w:hAnsi="Arial" w:cs="Arial"/>
          <w:lang w:val="en-US"/>
        </w:rPr>
        <w:t xml:space="preserve">penuh </w:t>
      </w:r>
      <w:r w:rsidR="0034555E" w:rsidRPr="0034555E">
        <w:rPr>
          <w:rFonts w:ascii="Arial" w:hAnsi="Arial" w:cs="Arial"/>
          <w:lang w:val="en-US"/>
        </w:rPr>
        <w:t xml:space="preserve">orang tua menjadi pelindung dari beberapa faktor risiko perilaku </w:t>
      </w:r>
      <w:r w:rsidR="0034555E">
        <w:rPr>
          <w:rFonts w:ascii="Arial" w:hAnsi="Arial" w:cs="Arial"/>
          <w:lang w:val="en-US"/>
        </w:rPr>
        <w:t>penyakit tidak menular</w:t>
      </w:r>
      <w:r w:rsidR="0034555E">
        <w:rPr>
          <w:rFonts w:ascii="Arial" w:hAnsi="Arial" w:cs="Arial"/>
          <w:lang w:val="en-US"/>
        </w:rPr>
        <w:fldChar w:fldCharType="begin" w:fldLock="1"/>
      </w:r>
      <w:r w:rsidR="005F6061">
        <w:rPr>
          <w:rFonts w:ascii="Arial" w:hAnsi="Arial" w:cs="Arial"/>
          <w:lang w:val="en-US"/>
        </w:rPr>
        <w:instrText>ADDIN CSL_CITATION {"citationItems":[{"id":"ITEM-1","itemData":{"ISSN":"2338-8358","abstract":"A d o lesce n ts in In d on e sia a s m u ch a s 2 4 ,01 p e rce nt can b e u sed a s a g en ts o f ch an g e fo r th e lo w e rin g in n o n-co m m u n ica b le d ise a se s (N C D) in th e fu ture. In a d dition risk o f N C D h a vin g a n im p a ct o n in cre a sin g m o rb id ity, m o rta lity, a n d d isa b ility a m o n g th e co m m u n ity, a lso h a ve a n im p a ct o n in cre a sin g e con o m ic b u rd en s b o th a t th e in d ivid u a l a n d n a tio n a l le ve l. T h e p u rpo se o f th is stu dy is to find o u t th e p ro po rtio n o f a d o le sce nt h e a lth-n u tritio n b e h avior a t risk o f N C D , so it can b e u sed a s a b a sis in p ro vid in g n u tritio n-h e alth e d uca tio n to p re ve n t n o n-co m m u n ica b le d ise a se s in a d ulth oo d. T h e stu dy w a s a n a lyze d b a se d o n R iske sd a s 2 0 1 3 a n d S K M I 2 0 1 4 d a ta. T h e sa m p les w e re a ll te e na g e rs a g e d 1 3-1 8 ye ars sa m p led in R iske sd a s 2 0 13 a n d S K M I 2 0 1 4. T h e va ria b le s a n alyze d w e re n a tio na l a n d h e a lth b e h avior a t risk o f N C D includ ing sm o kin g b e h avior, p h ysica l a ctivity, G G L in ta ke (su ga r, sa lt, fa t), b lo od p re ssure , a n d ce ntra l o b e sity. T h e riskiest n u tritio na l b e ha vio r w a s e xce ssive so diu m in take (5 2 .1%), e xce ssive fa t in take (2 6 .1%), co nsu m p tio n o f fru its a n d ve ge ta ble s a s m u ch a s 5 se rvin gs a d a y w a s o n ly 1 .5 p e rce n t. H e a lth b e h aviors risk p h ysica l a ctivity le ss th a n 3 0 m in u tes e very d a y (6 6 .0%) a n d sm o kin g (1 0 .0%). L ifestyle b e h aviors in th e a d o le sce nt th a t a re a t risk fo r N C D w e re h ig h in ta ke o f sa lt, e xce ssive fa t, con sum p tio n o f fru its a n d veg e tab les le ss, sm o kin g b e ha vio r, a n d la ck o f p h ysica l a ctivity. It is n e ce ssary to p ro m o te h e alth y livin g b e h avior p o licie s sta rtin g fro m h o m e a n d sch o o l to in cre a se kn ow le d ge a b o ut th e risk o f N C D a n d to ch an g e h e alth b e h avior in a d ole scen ts. K e y w o rd s: K e yw o rds: a d ole sce nt life style b e h avior, inta ke, a ctivity, N C D (n o n-co m m u n ica b le d ise a se s)","author":[{"dropping-particle":"","family":"Salimar","given":"","non-dropping-particle":"","parse-names":false,"suffix":""},{"dropping-particle":"","family":"Setyawati","given":"Budi","non-dropping-particle":"","parse-names":false,"suffix":""},{"dropping-particle":"","family":"Rika","given":"Rachmawati","non-dropping-particle":"","parse-names":false,"suffix":""}],"container-title":"Penelitian Gizi dan Makanan","id":"ITEM-1","issue":"1","issued":{"date-parts":[["2021"]]},"page":"11-20","title":"PER ILAKU GAYA HIDUP REMAJA BERISIKO TERKAIT PENYAK IT TIDAK MENULAR DI INDONESIA","type":"article-journal","volume":"44"},"uris":["http://www.mendeley.com/documents/?uuid=4b839811-e749-4698-90f6-ac2fb2361675"]}],"mendeley":{"formattedCitation":"(16)","plainTextFormattedCitation":"(16)","previouslyFormattedCitation":"(16)"},"properties":{"noteIndex":0},"schema":"https://github.com/citation-style-language/schema/raw/master/csl-citation.json"}</w:instrText>
      </w:r>
      <w:r w:rsidR="0034555E">
        <w:rPr>
          <w:rFonts w:ascii="Arial" w:hAnsi="Arial" w:cs="Arial"/>
          <w:lang w:val="en-US"/>
        </w:rPr>
        <w:fldChar w:fldCharType="separate"/>
      </w:r>
      <w:r w:rsidR="005F6061" w:rsidRPr="005F6061">
        <w:rPr>
          <w:rFonts w:ascii="Arial" w:hAnsi="Arial" w:cs="Arial"/>
          <w:noProof/>
          <w:lang w:val="en-US"/>
        </w:rPr>
        <w:t>(16)</w:t>
      </w:r>
      <w:r w:rsidR="0034555E">
        <w:rPr>
          <w:rFonts w:ascii="Arial" w:hAnsi="Arial" w:cs="Arial"/>
          <w:lang w:val="en-US"/>
        </w:rPr>
        <w:fldChar w:fldCharType="end"/>
      </w:r>
      <w:r w:rsidR="0034555E">
        <w:rPr>
          <w:rFonts w:ascii="Arial" w:hAnsi="Arial" w:cs="Arial"/>
          <w:lang w:val="en-US"/>
        </w:rPr>
        <w:t>.</w:t>
      </w:r>
      <w:r w:rsidR="005F6061" w:rsidRPr="005F6061">
        <w:t xml:space="preserve"> </w:t>
      </w:r>
      <w:r w:rsidR="005F6061" w:rsidRPr="005F6061">
        <w:rPr>
          <w:rFonts w:ascii="Arial" w:hAnsi="Arial" w:cs="Arial"/>
          <w:lang w:val="en-US"/>
        </w:rPr>
        <w:t xml:space="preserve">Dukungan sosial </w:t>
      </w:r>
      <w:r w:rsidR="005F6061">
        <w:rPr>
          <w:rFonts w:ascii="Arial" w:hAnsi="Arial" w:cs="Arial"/>
          <w:lang w:val="en-US"/>
        </w:rPr>
        <w:t xml:space="preserve">dari keluarga dan lingkungan berperan penting  meningkatkan pastisipasi siswa untuk melakukan pemeriksaan berkala. </w:t>
      </w:r>
      <w:r w:rsidR="005F6061" w:rsidRPr="005F6061">
        <w:rPr>
          <w:rFonts w:ascii="Arial" w:hAnsi="Arial" w:cs="Arial"/>
          <w:lang w:val="en-US"/>
        </w:rPr>
        <w:t>Skrining rutin memungkinkan identifikasi faktor risiko atau gejala PTM pada tahap awal, sehingga intervensi dapat dilakukan lebih dini untuk mencegah perkembangan</w:t>
      </w:r>
      <w:r w:rsidR="005F6061">
        <w:rPr>
          <w:rFonts w:ascii="Arial" w:hAnsi="Arial" w:cs="Arial"/>
          <w:lang w:val="en-US"/>
        </w:rPr>
        <w:t xml:space="preserve"> penyakit lebih lanjut</w:t>
      </w:r>
      <w:r w:rsidR="007A68BB">
        <w:rPr>
          <w:rFonts w:ascii="Arial" w:hAnsi="Arial" w:cs="Arial"/>
          <w:lang w:val="en-US"/>
        </w:rPr>
        <w:fldChar w:fldCharType="begin" w:fldLock="1"/>
      </w:r>
      <w:r w:rsidR="007A68BB">
        <w:rPr>
          <w:rFonts w:ascii="Arial" w:hAnsi="Arial" w:cs="Arial"/>
          <w:lang w:val="en-US"/>
        </w:rPr>
        <w:instrText>ADDIN CSL_CITATION {"citationItems":[{"id":"ITEM-1","itemData":{"author":[{"dropping-particle":"","family":"Pobas","given":"Sally","non-dropping-particle":"","parse-names":false,"suffix":""},{"dropping-particle":"","family":"Sary","given":"Dewi Antika","non-dropping-particle":"","parse-names":false,"suffix":""},{"dropping-particle":"","family":"Hapsari","given":"Fransiska Dwi","non-dropping-particle":"","parse-names":false,"suffix":""},{"dropping-particle":"","family":"Wuladari","given":"Wan Karmida","non-dropping-particle":"","parse-names":false,"suffix":""}],"container-title":"SOCIETY: Jurnal Pengabdian Masyarakat","id":"ITEM-1","issue":"4","issued":{"date-parts":[["2025"]]},"page":"513-520","title":"EDUKASI TENTANG PENTINGNYA SKRINING DAN KONTROL RUTIN TERHADAP PENCEGAHAN PENYAKIT TIDAK MENULAR PADA USIA PRODUKTIF","type":"article-journal","volume":"4"},"uris":["http://www.mendeley.com/documents/?uuid=e0619993-563e-4b77-b752-19d8183caf24"]}],"mendeley":{"formattedCitation":"(13)","plainTextFormattedCitation":"(13)","previouslyFormattedCitation":"(13)"},"properties":{"noteIndex":0},"schema":"https://github.com/citation-style-language/schema/raw/master/csl-citation.json"}</w:instrText>
      </w:r>
      <w:r w:rsidR="007A68BB">
        <w:rPr>
          <w:rFonts w:ascii="Arial" w:hAnsi="Arial" w:cs="Arial"/>
          <w:lang w:val="en-US"/>
        </w:rPr>
        <w:fldChar w:fldCharType="separate"/>
      </w:r>
      <w:r w:rsidR="007A68BB" w:rsidRPr="007A68BB">
        <w:rPr>
          <w:rFonts w:ascii="Arial" w:hAnsi="Arial" w:cs="Arial"/>
          <w:noProof/>
          <w:lang w:val="en-US"/>
        </w:rPr>
        <w:t>(13)</w:t>
      </w:r>
      <w:r w:rsidR="007A68BB">
        <w:rPr>
          <w:rFonts w:ascii="Arial" w:hAnsi="Arial" w:cs="Arial"/>
          <w:lang w:val="en-US"/>
        </w:rPr>
        <w:fldChar w:fldCharType="end"/>
      </w:r>
      <w:r w:rsidR="005F6061">
        <w:rPr>
          <w:rFonts w:ascii="Arial" w:hAnsi="Arial" w:cs="Arial"/>
          <w:lang w:val="en-US"/>
        </w:rPr>
        <w:t xml:space="preserve">. </w:t>
      </w:r>
    </w:p>
    <w:p w:rsidR="005F6061" w:rsidRPr="00B9238B" w:rsidRDefault="005F6061" w:rsidP="006A5046">
      <w:pPr>
        <w:pStyle w:val="IEEEParagraph"/>
        <w:ind w:left="288" w:firstLine="0"/>
        <w:rPr>
          <w:rFonts w:ascii="Arial" w:hAnsi="Arial" w:cs="Arial"/>
          <w:lang w:val="en-US"/>
        </w:rPr>
      </w:pPr>
    </w:p>
    <w:p w:rsidR="004B6C46" w:rsidRPr="00EA0DE4" w:rsidRDefault="00EA0DE4" w:rsidP="004B6C46">
      <w:pPr>
        <w:pStyle w:val="IEEEParagraph"/>
        <w:ind w:left="288" w:firstLine="0"/>
        <w:rPr>
          <w:rFonts w:ascii="Arial" w:hAnsi="Arial" w:cs="Arial"/>
          <w:b/>
        </w:rPr>
      </w:pPr>
      <w:r w:rsidRPr="00EA0DE4">
        <w:rPr>
          <w:rFonts w:ascii="Arial" w:hAnsi="Arial" w:cs="Arial"/>
          <w:b/>
        </w:rPr>
        <w:t>Dampak kegiatan pengabdian masyarakat bagi mahasiswa</w:t>
      </w:r>
    </w:p>
    <w:p w:rsidR="00627D1F" w:rsidRDefault="00EA0DE4" w:rsidP="00206BE4">
      <w:pPr>
        <w:pStyle w:val="IEEEParagraph"/>
        <w:ind w:left="288" w:firstLine="0"/>
        <w:rPr>
          <w:rFonts w:ascii="Arial" w:hAnsi="Arial" w:cs="Arial"/>
        </w:rPr>
      </w:pPr>
      <w:r>
        <w:rPr>
          <w:rFonts w:ascii="Arial" w:hAnsi="Arial" w:cs="Arial"/>
        </w:rPr>
        <w:t xml:space="preserve">       </w:t>
      </w:r>
      <w:r w:rsidRPr="00EA0DE4">
        <w:rPr>
          <w:rFonts w:ascii="Arial" w:hAnsi="Arial" w:cs="Arial"/>
        </w:rPr>
        <w:t xml:space="preserve">Pengabdian kepada masyarakat merupakan bagian dari misi perguruan tinggi dalam mengaplikasikan ilmu dan keterampilan mahasiswa untuk kepentingan </w:t>
      </w:r>
      <w:r w:rsidR="00627D1F">
        <w:rPr>
          <w:rFonts w:ascii="Arial" w:hAnsi="Arial" w:cs="Arial"/>
        </w:rPr>
        <w:t>social. M</w:t>
      </w:r>
      <w:r w:rsidR="00627D1F" w:rsidRPr="00627D1F">
        <w:rPr>
          <w:rFonts w:ascii="Arial" w:hAnsi="Arial" w:cs="Arial"/>
        </w:rPr>
        <w:t>elibatkan m</w:t>
      </w:r>
      <w:r w:rsidR="00627D1F">
        <w:rPr>
          <w:rFonts w:ascii="Arial" w:hAnsi="Arial" w:cs="Arial"/>
        </w:rPr>
        <w:t>ahasiswa akan melatih kemampuan pelayanan kesehatan</w:t>
      </w:r>
      <w:r w:rsidR="00627D1F">
        <w:rPr>
          <w:rFonts w:ascii="Arial" w:hAnsi="Arial" w:cs="Arial"/>
        </w:rPr>
        <w:fldChar w:fldCharType="begin" w:fldLock="1"/>
      </w:r>
      <w:r w:rsidR="007A68BB">
        <w:rPr>
          <w:rFonts w:ascii="Arial" w:hAnsi="Arial" w:cs="Arial"/>
        </w:rPr>
        <w:instrText>ADDIN CSL_CITATION {"citationItems":[{"id":"ITEM-1","itemData":{"abstract":"Perilaku hidup bersih dan sehat (PHBS) didefinisikan sebagai perilaku yang dipratikkan dengan kesadaran sebagai hasil pembelajaran dan perwujudan paradigma sehat yang menjadikan individu, keluarga. Tujuan pengabdian ini adalah untuk mengetahui sejauh mana pelaksanakan PHBS tatanan sekolah dengan kebiasaan mencuci tangan pakai sabut pada siswa SDN Maumbi dan SDN Inpres Watutumou Kabupaten Minahasa Utara. Metode kegiatan pengabdian Metode dalam pelaksanaan pengabdian kepada masyarakat ini dilakukan dengan melakukan survey awal di lokasi tempat akan dilaksanakan kegiatan pengabdian kepada masyarakat, pendekatan kepada pihak sekolah dan mendata semua siswa . Intervensi yang diberikan adalah pembuatan tempat cuci tangan bagi siswa dan guru-guru. Hasil kegiatan menunjukkan terealisasinya fasilitas tempat cuci tangan sejumlah 4 unit/set yang siap digunakan oleh siswa dan guru SDN Maumbi dan SDN Inpres Watutumou, masing-masing 2 unit/set tempat cuci tangan. Kesimpulan : tercapaianya target pencegahan COVID-19, dengan perubahan perilaku dari siswa dengan melakukan cuci tangan pakai sabun secara mandiri di sekolah dan rumah masing-masing.","author":[{"dropping-particle":"","family":"Adam","given":"Yulien","non-dropping-particle":"","parse-names":false,"suffix":""},{"dropping-particle":"","family":"Purwandari","given":"Atik","non-dropping-particle":"","parse-names":false,"suffix":""},{"dropping-particle":"","family":"Lontaan","given":"Anita","non-dropping-particle":"","parse-names":false,"suffix":""},{"dropping-particle":"","family":"Montolalu","given":"Agnes","non-dropping-particle":"","parse-names":false,"suffix":""}],"container-title":"Jurnal Pengabdian Masyarakat Cendikia Jenius","id":"ITEM-1","issued":{"date-parts":[["2024"]]},"page":"9-16","title":"Jurnal Pengabdian Masyarakat Cendikia Jenius","type":"article-journal","volume":"1"},"uris":["http://www.mendeley.com/documents/?uuid=8d538f98-db89-4749-816d-14855aa9acc0"]}],"mendeley":{"formattedCitation":"(4)","plainTextFormattedCitation":"(4)","previouslyFormattedCitation":"(4)"},"properties":{"noteIndex":0},"schema":"https://github.com/citation-style-language/schema/raw/master/csl-citation.json"}</w:instrText>
      </w:r>
      <w:r w:rsidR="00627D1F">
        <w:rPr>
          <w:rFonts w:ascii="Arial" w:hAnsi="Arial" w:cs="Arial"/>
        </w:rPr>
        <w:fldChar w:fldCharType="separate"/>
      </w:r>
      <w:r w:rsidR="00627D1F" w:rsidRPr="00627D1F">
        <w:rPr>
          <w:rFonts w:ascii="Arial" w:hAnsi="Arial" w:cs="Arial"/>
          <w:noProof/>
        </w:rPr>
        <w:t>(4)</w:t>
      </w:r>
      <w:r w:rsidR="00627D1F">
        <w:rPr>
          <w:rFonts w:ascii="Arial" w:hAnsi="Arial" w:cs="Arial"/>
        </w:rPr>
        <w:fldChar w:fldCharType="end"/>
      </w:r>
      <w:r w:rsidR="00627D1F" w:rsidRPr="00627D1F">
        <w:rPr>
          <w:rFonts w:ascii="Arial" w:hAnsi="Arial" w:cs="Arial"/>
        </w:rPr>
        <w:t>. Inisiatif tersebut juga mendorong pembelajaran aktif, sehingga mahasiswa dapat melihat secara langsung dampak nyata kerja sama lintas disiplin dalam pengelolaan kesehatan masyarakat.</w:t>
      </w:r>
    </w:p>
    <w:p w:rsidR="00206BE4" w:rsidRPr="00206BE4" w:rsidRDefault="00206BE4" w:rsidP="00206BE4">
      <w:pPr>
        <w:pStyle w:val="IEEEParagraph"/>
        <w:ind w:left="288" w:firstLine="0"/>
        <w:rPr>
          <w:rFonts w:ascii="Arial" w:hAnsi="Arial" w:cs="Arial"/>
        </w:rPr>
      </w:pPr>
      <w:r>
        <w:rPr>
          <w:rFonts w:ascii="Arial" w:hAnsi="Arial" w:cs="Arial"/>
        </w:rPr>
        <w:t>T</w:t>
      </w:r>
      <w:r w:rsidRPr="00206BE4">
        <w:rPr>
          <w:rFonts w:ascii="Arial" w:hAnsi="Arial" w:cs="Arial"/>
        </w:rPr>
        <w:t>emuan dalam kegiatan pengabdian masyarakat menguatkan bukti ilmiah bahwa deteksi dini melalui skrining kesehatan</w:t>
      </w:r>
      <w:r>
        <w:rPr>
          <w:rFonts w:ascii="Arial" w:hAnsi="Arial" w:cs="Arial"/>
        </w:rPr>
        <w:fldChar w:fldCharType="begin" w:fldLock="1"/>
      </w:r>
      <w:r>
        <w:rPr>
          <w:rFonts w:ascii="Arial" w:hAnsi="Arial" w:cs="Arial"/>
        </w:rPr>
        <w:instrText>ADDIN CSL_CITATION {"citationItems":[{"id":"ITEM-1","itemData":{"DOI":"10.59110/rcsd.537","abstract":"Prevalensi Penyakit Tidak Menular (PTM) di Indonesia terus meningkat akibat perubahan gaya hidup dan urbanisasi. PTM tidak hanya menyerang usia lanjut, tetapi juga dapat terjadi pada usia muda. Pengabdian kepada masyarakat ini bertujuan untuk mendukung implementasi skrining PTM pada kelompok remaja Karang Taruna Tunas Harapan guna meningkatkan kesadaran akan pentingnya kesehatan sejak dini. Skrining dilakukan terhadap 24 peserta berusia 19–33 tahun menggunakan metode pengukuran antropometri (tinggi badan, berat badan, lingkar lengan atas), tekanan darah, kadar hemoglobin, serta kadar gula darah sewaktu dengan alat Easy Touch GCU. Hasil skrining menunjukkan bahwa 29,2% peserta memiliki status gizi kurang, 12,5% obesitas, 6,7% mengalami anemia, 11,1% terindikasi prediabetik, dan 8,4% mengalami hipertensi tingkat 1. Tindak lanjut dilakukan melalui edukasi kesehatan mengenai PTM, anemia, serta pengaturan pola makan dan gaya hidup. Tablet tambah darah diberikan kepada remaja putri sebagai langkah pencegahan anemia. Diperlukan dukungan dari pemerintah desa dan Karang Taruna dalam mengoptimalkan posyandu remaja agar kegiatan ini berkelanjutan. Program ini dapat menjadi model dalam deteksi dini PTM berbasis komunitas untuk meningkatkan kesehatan remaja secara berkelanjutan.","author":[{"dropping-particle":"","family":"Fadhilah","given":"Siti","non-dropping-particle":"","parse-names":false,"suffix":""},{"dropping-particle":"","family":"Rusliani","given":"Dian Monalisa","non-dropping-particle":"","parse-names":false,"suffix":""},{"dropping-particle":"","family":"Nuryati","given":"Arum","non-dropping-particle":"","parse-names":false,"suffix":""},{"dropping-particle":"","family":"Suryantara","given":"Bima","non-dropping-particle":"","parse-names":false,"suffix":""}],"container-title":"Room of Civil Society Development","id":"ITEM-1","issue":"1","issued":{"date-parts":[["2025"]]},"page":"222-233","title":"Deteksi Dini Faktor Risiko Penyakit Tidak Menular pada Remaja Karang Taruna: Skrining dan Upaya Pencegahan","type":"article-journal","volume":"4"},"uris":["http://www.mendeley.com/documents/?uuid=36b7f7f6-eae1-4d09-b063-a5318ddc2ad9"]}],"mendeley":{"formattedCitation":"(2)","plainTextFormattedCitation":"(2)","previouslyFormattedCitation":"(2)"},"properties":{"noteIndex":0},"schema":"https://github.com/citation-style-language/schema/raw/master/csl-citation.json"}</w:instrText>
      </w:r>
      <w:r>
        <w:rPr>
          <w:rFonts w:ascii="Arial" w:hAnsi="Arial" w:cs="Arial"/>
        </w:rPr>
        <w:fldChar w:fldCharType="separate"/>
      </w:r>
      <w:r w:rsidRPr="00206BE4">
        <w:rPr>
          <w:rFonts w:ascii="Arial" w:hAnsi="Arial" w:cs="Arial"/>
          <w:noProof/>
        </w:rPr>
        <w:t>(2)</w:t>
      </w:r>
      <w:r>
        <w:rPr>
          <w:rFonts w:ascii="Arial" w:hAnsi="Arial" w:cs="Arial"/>
        </w:rPr>
        <w:fldChar w:fldCharType="end"/>
      </w:r>
      <w:r w:rsidRPr="00206BE4">
        <w:rPr>
          <w:rFonts w:ascii="Arial" w:hAnsi="Arial" w:cs="Arial"/>
        </w:rPr>
        <w:t>, edukasi gaya hidup sehat</w:t>
      </w:r>
      <w:r>
        <w:rPr>
          <w:rFonts w:ascii="Arial" w:hAnsi="Arial" w:cs="Arial"/>
        </w:rPr>
        <w:fldChar w:fldCharType="begin" w:fldLock="1"/>
      </w:r>
      <w:r w:rsidR="005F6061">
        <w:rPr>
          <w:rFonts w:ascii="Arial" w:hAnsi="Arial" w:cs="Arial"/>
        </w:rPr>
        <w:instrText>ADDIN CSL_CITATION {"citationItems":[{"id":"ITEM-1","itemData":{"author":[{"dropping-particle":"","family":"Aulina","given":"Choirun Nisak","non-dropping-particle":"","parse-names":false,"suffix":""},{"dropping-particle":"","family":"Nisak","given":"Khoirun","non-dropping-particle":"","parse-names":false,"suffix":""}],"container-title":"Jurnal Pengabdian Masyarakat dan aplikasi Teknologi (Adipati) Edukasi","id":"ITEM-1","issue":"01","issued":{"date-parts":[["2026"]]},"page":"7-14","title":"Edukasi dan Pemeriksaan Kesehatan Remaja di Pondok An-Nur Tanggulangin Sidoarjo","type":"article-journal","volume":"05"},"uris":["http://www.mendeley.com/documents/?uuid=c39244a7-b8eb-4e65-8c9f-38679025f147"]}],"mendeley":{"formattedCitation":"(3)","plainTextFormattedCitation":"(3)","previouslyFormattedCitation":"(3)"},"properties":{"noteIndex":0},"schema":"https://github.com/citation-style-language/schema/raw/master/csl-citation.json"}</w:instrText>
      </w:r>
      <w:r>
        <w:rPr>
          <w:rFonts w:ascii="Arial" w:hAnsi="Arial" w:cs="Arial"/>
        </w:rPr>
        <w:fldChar w:fldCharType="separate"/>
      </w:r>
      <w:r w:rsidRPr="00206BE4">
        <w:rPr>
          <w:rFonts w:ascii="Arial" w:hAnsi="Arial" w:cs="Arial"/>
          <w:noProof/>
        </w:rPr>
        <w:t>(3)</w:t>
      </w:r>
      <w:r>
        <w:rPr>
          <w:rFonts w:ascii="Arial" w:hAnsi="Arial" w:cs="Arial"/>
        </w:rPr>
        <w:fldChar w:fldCharType="end"/>
      </w:r>
      <w:r w:rsidRPr="00206BE4">
        <w:rPr>
          <w:rFonts w:ascii="Arial" w:hAnsi="Arial" w:cs="Arial"/>
        </w:rPr>
        <w:t xml:space="preserve">, dan pemantauan berkala sangat penting untuk mencegah perkembangan penyakit tidak menular sejak dini. </w:t>
      </w:r>
    </w:p>
    <w:p w:rsidR="00EA0DE4" w:rsidRPr="00EA0DE4" w:rsidRDefault="00EA0DE4" w:rsidP="00EA0DE4">
      <w:pPr>
        <w:pStyle w:val="IEEEParagraph"/>
        <w:ind w:left="288" w:firstLine="0"/>
        <w:rPr>
          <w:rFonts w:ascii="Arial" w:hAnsi="Arial" w:cs="Arial"/>
        </w:rPr>
      </w:pPr>
    </w:p>
    <w:p w:rsidR="0062033E" w:rsidRDefault="00093CF7" w:rsidP="00EC3F6C">
      <w:pPr>
        <w:pStyle w:val="IEEEHeading1"/>
        <w:numPr>
          <w:ilvl w:val="0"/>
          <w:numId w:val="11"/>
        </w:numPr>
        <w:spacing w:before="0" w:after="0"/>
        <w:jc w:val="left"/>
        <w:rPr>
          <w:rFonts w:ascii="Arial" w:hAnsi="Arial" w:cs="Arial"/>
          <w:b/>
          <w:sz w:val="25"/>
          <w:szCs w:val="25"/>
          <w:lang w:val="id-ID"/>
        </w:rPr>
      </w:pPr>
      <w:r>
        <w:rPr>
          <w:rFonts w:ascii="Arial" w:hAnsi="Arial" w:cs="Arial"/>
          <w:b/>
          <w:sz w:val="25"/>
          <w:szCs w:val="25"/>
          <w:lang w:val="id-ID"/>
        </w:rPr>
        <w:t>KESIM</w:t>
      </w:r>
      <w:r w:rsidR="009D2660" w:rsidRPr="001C0CCC">
        <w:rPr>
          <w:rFonts w:ascii="Arial" w:hAnsi="Arial" w:cs="Arial"/>
          <w:b/>
          <w:sz w:val="25"/>
          <w:szCs w:val="25"/>
          <w:lang w:val="id-ID"/>
        </w:rPr>
        <w:t xml:space="preserve">PULAN </w:t>
      </w:r>
      <w:r w:rsidR="00F870D3" w:rsidRPr="001C0CCC">
        <w:rPr>
          <w:rFonts w:ascii="Arial" w:hAnsi="Arial" w:cs="Arial"/>
          <w:b/>
          <w:sz w:val="25"/>
          <w:szCs w:val="25"/>
          <w:lang w:val="id-ID"/>
        </w:rPr>
        <w:t>DAN</w:t>
      </w:r>
      <w:r w:rsidR="00633178" w:rsidRPr="001C0CCC">
        <w:rPr>
          <w:rFonts w:ascii="Arial" w:hAnsi="Arial" w:cs="Arial"/>
          <w:b/>
          <w:sz w:val="25"/>
          <w:szCs w:val="25"/>
          <w:lang w:val="id-ID"/>
        </w:rPr>
        <w:t xml:space="preserve"> SARAN</w:t>
      </w:r>
    </w:p>
    <w:p w:rsidR="009C367A" w:rsidRPr="00496088" w:rsidRDefault="009C367A" w:rsidP="00496088">
      <w:pPr>
        <w:pStyle w:val="IEEEHeading1"/>
        <w:numPr>
          <w:ilvl w:val="0"/>
          <w:numId w:val="0"/>
        </w:numPr>
        <w:spacing w:before="0" w:after="0"/>
        <w:ind w:firstLine="360"/>
        <w:jc w:val="left"/>
        <w:rPr>
          <w:rFonts w:ascii="Arial" w:hAnsi="Arial" w:cs="Arial"/>
          <w:b/>
          <w:sz w:val="25"/>
          <w:szCs w:val="25"/>
          <w:lang w:val="id-ID"/>
        </w:rPr>
      </w:pPr>
      <w:r>
        <w:rPr>
          <w:rFonts w:ascii="Arial" w:hAnsi="Arial" w:cs="Arial"/>
          <w:b/>
          <w:sz w:val="25"/>
          <w:szCs w:val="25"/>
          <w:lang w:val="en-US"/>
        </w:rPr>
        <w:t xml:space="preserve">1. </w:t>
      </w:r>
      <w:r w:rsidR="00093CF7">
        <w:rPr>
          <w:rFonts w:ascii="Arial" w:hAnsi="Arial" w:cs="Arial"/>
          <w:b/>
          <w:sz w:val="25"/>
          <w:szCs w:val="25"/>
          <w:lang w:val="id-ID"/>
        </w:rPr>
        <w:t>KESIM</w:t>
      </w:r>
      <w:r w:rsidR="00093CF7" w:rsidRPr="001C0CCC">
        <w:rPr>
          <w:rFonts w:ascii="Arial" w:hAnsi="Arial" w:cs="Arial"/>
          <w:b/>
          <w:sz w:val="25"/>
          <w:szCs w:val="25"/>
          <w:lang w:val="id-ID"/>
        </w:rPr>
        <w:t>PULAN</w:t>
      </w:r>
      <w:r>
        <w:rPr>
          <w:rFonts w:ascii="Arial" w:hAnsi="Arial" w:cs="Arial"/>
          <w:shd w:val="clear" w:color="auto" w:fill="FFFFFF"/>
        </w:rPr>
        <w:t xml:space="preserve">    </w:t>
      </w:r>
    </w:p>
    <w:p w:rsidR="009C367A" w:rsidRDefault="00496088" w:rsidP="00496088">
      <w:pPr>
        <w:pStyle w:val="IEEEParagraph"/>
        <w:ind w:left="360" w:firstLine="0"/>
        <w:rPr>
          <w:rFonts w:ascii="Arial" w:hAnsi="Arial" w:cs="Arial"/>
          <w:shd w:val="clear" w:color="auto" w:fill="FFFFFF"/>
          <w:lang w:val="en-US"/>
        </w:rPr>
      </w:pPr>
      <w:r>
        <w:rPr>
          <w:rFonts w:ascii="Arial" w:hAnsi="Arial" w:cs="Arial"/>
          <w:shd w:val="clear" w:color="auto" w:fill="FFFFFF"/>
          <w:lang w:val="en-US"/>
        </w:rPr>
        <w:t xml:space="preserve">       </w:t>
      </w:r>
      <w:r w:rsidRPr="00496088">
        <w:rPr>
          <w:rFonts w:ascii="Arial" w:hAnsi="Arial" w:cs="Arial"/>
          <w:shd w:val="clear" w:color="auto" w:fill="FFFFFF"/>
          <w:lang w:val="en-US"/>
        </w:rPr>
        <w:t xml:space="preserve">Kegiatan skrining kesehatan pada remaja di SMK HKTI Temanggung menunjukkan bahwa sebagian besar siswa berada dalam kondisi kesehatan yang relatif baik, namun ditemukan proporsi signifikan yang telah memasuki kategori elevated hingga hipertensi tahap 1 dan 2. Pemeriksaan gula darah umumnya dalam batas normal, meskipun terdapat satu kasus yang </w:t>
      </w:r>
      <w:r>
        <w:rPr>
          <w:rFonts w:ascii="Arial" w:hAnsi="Arial" w:cs="Arial"/>
          <w:shd w:val="clear" w:color="auto" w:fill="FFFFFF"/>
          <w:lang w:val="en-US"/>
        </w:rPr>
        <w:t>mengarah pada prediabetes. V</w:t>
      </w:r>
      <w:r w:rsidRPr="00496088">
        <w:rPr>
          <w:rFonts w:ascii="Arial" w:hAnsi="Arial" w:cs="Arial"/>
          <w:shd w:val="clear" w:color="auto" w:fill="FFFFFF"/>
          <w:lang w:val="en-US"/>
        </w:rPr>
        <w:t xml:space="preserve">ariasi berat badan menunjukkan adanya </w:t>
      </w:r>
      <w:r w:rsidRPr="00496088">
        <w:rPr>
          <w:rFonts w:ascii="Arial" w:hAnsi="Arial" w:cs="Arial"/>
          <w:shd w:val="clear" w:color="auto" w:fill="FFFFFF"/>
          <w:lang w:val="en-US"/>
        </w:rPr>
        <w:lastRenderedPageBreak/>
        <w:t>potensi masalah status gizi baik gizi lebih maupun gizi kurang. Temuan ini menegaskan bahwa faktor risiko PTM telah muncul sejak usia remaja sehingga deteksi dini, edukasi, dan intervensi preventif sangat diperlukan untuk mencegah progresi penyakit di masa dewasa.</w:t>
      </w:r>
    </w:p>
    <w:p w:rsidR="00093CF7" w:rsidRPr="00BE340C" w:rsidRDefault="00093CF7" w:rsidP="00EC3F6C">
      <w:pPr>
        <w:pStyle w:val="IEEEParagraph"/>
        <w:ind w:firstLine="0"/>
        <w:rPr>
          <w:rFonts w:ascii="Arial" w:hAnsi="Arial" w:cs="Arial"/>
          <w:shd w:val="clear" w:color="auto" w:fill="FFFFFF"/>
          <w:lang w:val="en-US"/>
        </w:rPr>
      </w:pPr>
    </w:p>
    <w:p w:rsidR="00BE340C" w:rsidRPr="00BE340C" w:rsidRDefault="00093CF7" w:rsidP="00EC3F6C">
      <w:pPr>
        <w:pStyle w:val="IEEEParagraph"/>
        <w:ind w:firstLine="0"/>
        <w:rPr>
          <w:rFonts w:ascii="Arial" w:hAnsi="Arial" w:cs="Arial"/>
          <w:shd w:val="clear" w:color="auto" w:fill="FFFFFF"/>
          <w:lang w:val="en-US"/>
        </w:rPr>
      </w:pPr>
      <w:r>
        <w:rPr>
          <w:rFonts w:ascii="Arial" w:hAnsi="Arial" w:cs="Arial"/>
          <w:b/>
          <w:sz w:val="25"/>
          <w:szCs w:val="25"/>
          <w:lang w:val="en-US"/>
        </w:rPr>
        <w:t xml:space="preserve">2. </w:t>
      </w:r>
      <w:r w:rsidRPr="001C0CCC">
        <w:rPr>
          <w:rFonts w:ascii="Arial" w:hAnsi="Arial" w:cs="Arial"/>
          <w:b/>
          <w:sz w:val="25"/>
          <w:szCs w:val="25"/>
          <w:lang w:val="id-ID"/>
        </w:rPr>
        <w:t>SARAN</w:t>
      </w:r>
    </w:p>
    <w:p w:rsidR="00496088" w:rsidRPr="00496088" w:rsidRDefault="00496088" w:rsidP="00496088">
      <w:pPr>
        <w:pStyle w:val="IEEEParagraph"/>
        <w:numPr>
          <w:ilvl w:val="0"/>
          <w:numId w:val="37"/>
        </w:numPr>
        <w:ind w:left="567" w:hanging="283"/>
        <w:rPr>
          <w:rFonts w:ascii="Arial" w:hAnsi="Arial" w:cs="Arial"/>
          <w:shd w:val="clear" w:color="auto" w:fill="FFFFFF"/>
          <w:lang w:val="en-US"/>
        </w:rPr>
      </w:pPr>
      <w:r>
        <w:rPr>
          <w:rFonts w:ascii="Arial" w:hAnsi="Arial" w:cs="Arial"/>
          <w:shd w:val="clear" w:color="auto" w:fill="FFFFFF"/>
          <w:lang w:val="en-US"/>
        </w:rPr>
        <w:t>Bagi Sekolah</w:t>
      </w:r>
    </w:p>
    <w:p w:rsidR="00496088" w:rsidRPr="00496088" w:rsidRDefault="00496088" w:rsidP="00496088">
      <w:pPr>
        <w:pStyle w:val="IEEEParagraph"/>
        <w:ind w:left="567" w:firstLine="0"/>
        <w:rPr>
          <w:rFonts w:ascii="Arial" w:hAnsi="Arial" w:cs="Arial"/>
          <w:shd w:val="clear" w:color="auto" w:fill="FFFFFF"/>
          <w:lang w:val="en-US"/>
        </w:rPr>
      </w:pPr>
      <w:r w:rsidRPr="00496088">
        <w:rPr>
          <w:rFonts w:ascii="Arial" w:hAnsi="Arial" w:cs="Arial"/>
          <w:shd w:val="clear" w:color="auto" w:fill="FFFFFF"/>
          <w:lang w:val="en-US"/>
        </w:rPr>
        <w:t>Melaksanakan skrining kesehatan rutin (tekanan darah, IMT, dan gula darah) minimal satu kali setiap tahun serta memperkuat program UKS dengan edukasi pola hidup sehat, aktivitas fisik terstruktur, dan kantin sehat.</w:t>
      </w:r>
    </w:p>
    <w:p w:rsidR="00496088" w:rsidRPr="00496088" w:rsidRDefault="00496088" w:rsidP="00496088">
      <w:pPr>
        <w:pStyle w:val="IEEEParagraph"/>
        <w:numPr>
          <w:ilvl w:val="0"/>
          <w:numId w:val="37"/>
        </w:numPr>
        <w:ind w:left="567" w:hanging="283"/>
        <w:rPr>
          <w:rFonts w:ascii="Arial" w:hAnsi="Arial" w:cs="Arial"/>
          <w:shd w:val="clear" w:color="auto" w:fill="FFFFFF"/>
          <w:lang w:val="en-US"/>
        </w:rPr>
      </w:pPr>
      <w:r>
        <w:rPr>
          <w:rFonts w:ascii="Arial" w:hAnsi="Arial" w:cs="Arial"/>
          <w:shd w:val="clear" w:color="auto" w:fill="FFFFFF"/>
          <w:lang w:val="en-US"/>
        </w:rPr>
        <w:t>Bagi Orang Tua</w:t>
      </w:r>
    </w:p>
    <w:p w:rsidR="00496088" w:rsidRPr="00496088" w:rsidRDefault="00496088" w:rsidP="00496088">
      <w:pPr>
        <w:pStyle w:val="IEEEParagraph"/>
        <w:ind w:left="567" w:firstLine="0"/>
        <w:rPr>
          <w:rFonts w:ascii="Arial" w:hAnsi="Arial" w:cs="Arial"/>
          <w:shd w:val="clear" w:color="auto" w:fill="FFFFFF"/>
          <w:lang w:val="en-US"/>
        </w:rPr>
      </w:pPr>
      <w:r w:rsidRPr="00496088">
        <w:rPr>
          <w:rFonts w:ascii="Arial" w:hAnsi="Arial" w:cs="Arial"/>
          <w:shd w:val="clear" w:color="auto" w:fill="FFFFFF"/>
          <w:lang w:val="en-US"/>
        </w:rPr>
        <w:t>Memberikan dukungan dalam penerapan pola makan seimbang di rumah, membatasi konsumsi makanan tinggi gula dan garam, serta mendorong aktivitas fisik anak secara teratur.</w:t>
      </w:r>
    </w:p>
    <w:p w:rsidR="00496088" w:rsidRPr="00496088" w:rsidRDefault="00496088" w:rsidP="00496088">
      <w:pPr>
        <w:pStyle w:val="IEEEParagraph"/>
        <w:numPr>
          <w:ilvl w:val="0"/>
          <w:numId w:val="37"/>
        </w:numPr>
        <w:ind w:left="567" w:hanging="283"/>
        <w:rPr>
          <w:rFonts w:ascii="Arial" w:hAnsi="Arial" w:cs="Arial"/>
          <w:shd w:val="clear" w:color="auto" w:fill="FFFFFF"/>
          <w:lang w:val="en-US"/>
        </w:rPr>
      </w:pPr>
      <w:r>
        <w:rPr>
          <w:rFonts w:ascii="Arial" w:hAnsi="Arial" w:cs="Arial"/>
          <w:shd w:val="clear" w:color="auto" w:fill="FFFFFF"/>
          <w:lang w:val="en-US"/>
        </w:rPr>
        <w:t>Bagi Siswa</w:t>
      </w:r>
    </w:p>
    <w:p w:rsidR="00496088" w:rsidRPr="00496088" w:rsidRDefault="00496088" w:rsidP="00496088">
      <w:pPr>
        <w:pStyle w:val="IEEEParagraph"/>
        <w:ind w:left="567" w:firstLine="0"/>
        <w:rPr>
          <w:rFonts w:ascii="Arial" w:hAnsi="Arial" w:cs="Arial"/>
          <w:shd w:val="clear" w:color="auto" w:fill="FFFFFF"/>
          <w:lang w:val="en-US"/>
        </w:rPr>
      </w:pPr>
      <w:r w:rsidRPr="00496088">
        <w:rPr>
          <w:rFonts w:ascii="Arial" w:hAnsi="Arial" w:cs="Arial"/>
          <w:shd w:val="clear" w:color="auto" w:fill="FFFFFF"/>
          <w:lang w:val="en-US"/>
        </w:rPr>
        <w:t>Meningkatkan kesadaran terhadap pentingnya menjaga berat badan ideal, rutin berolahraga minimal 30 menit per hari, serta melakukan pemeriksaan kesehatan secara berkala.</w:t>
      </w:r>
    </w:p>
    <w:p w:rsidR="00496088" w:rsidRPr="00496088" w:rsidRDefault="00496088" w:rsidP="00832C46">
      <w:pPr>
        <w:pStyle w:val="IEEEParagraph"/>
        <w:numPr>
          <w:ilvl w:val="0"/>
          <w:numId w:val="37"/>
        </w:numPr>
        <w:ind w:left="567" w:hanging="283"/>
        <w:rPr>
          <w:rFonts w:ascii="Arial" w:hAnsi="Arial" w:cs="Arial"/>
          <w:shd w:val="clear" w:color="auto" w:fill="FFFFFF"/>
          <w:lang w:val="en-US"/>
        </w:rPr>
      </w:pPr>
      <w:r w:rsidRPr="00496088">
        <w:rPr>
          <w:rFonts w:ascii="Arial" w:hAnsi="Arial" w:cs="Arial"/>
          <w:shd w:val="clear" w:color="auto" w:fill="FFFFFF"/>
          <w:lang w:val="en-US"/>
        </w:rPr>
        <w:t>B</w:t>
      </w:r>
      <w:r>
        <w:rPr>
          <w:rFonts w:ascii="Arial" w:hAnsi="Arial" w:cs="Arial"/>
          <w:shd w:val="clear" w:color="auto" w:fill="FFFFFF"/>
          <w:lang w:val="en-US"/>
        </w:rPr>
        <w:t>agi Institusi Pendidikan Tinggi</w:t>
      </w:r>
    </w:p>
    <w:p w:rsidR="007250A7" w:rsidRDefault="00496088" w:rsidP="00832C46">
      <w:pPr>
        <w:pStyle w:val="IEEEParagraph"/>
        <w:ind w:left="567" w:firstLine="0"/>
        <w:rPr>
          <w:rFonts w:ascii="Arial" w:hAnsi="Arial" w:cs="Arial"/>
          <w:shd w:val="clear" w:color="auto" w:fill="FFFFFF"/>
          <w:lang w:val="en-US"/>
        </w:rPr>
      </w:pPr>
      <w:r w:rsidRPr="00496088">
        <w:rPr>
          <w:rFonts w:ascii="Arial" w:hAnsi="Arial" w:cs="Arial"/>
          <w:shd w:val="clear" w:color="auto" w:fill="FFFFFF"/>
          <w:lang w:val="en-US"/>
        </w:rPr>
        <w:t>Melanjutkan program pengabdian masyarakat berbasis skrining kesehatan remaja secara berkelanjutan dengan cakupan pemeriksaan yang lebih komprehensif, termasuk pengukuran tinggi badan untuk perhitungan IMT dan evaluasi lanjutan bagi siswa berisiko.</w:t>
      </w:r>
    </w:p>
    <w:p w:rsidR="00496088" w:rsidRDefault="00496088" w:rsidP="00832C46">
      <w:pPr>
        <w:pStyle w:val="IEEEParagraph"/>
        <w:ind w:left="567" w:firstLine="0"/>
        <w:rPr>
          <w:rFonts w:ascii="Arial" w:hAnsi="Arial" w:cs="Arial"/>
          <w:shd w:val="clear" w:color="auto" w:fill="FFFFFF"/>
          <w:lang w:val="en-US"/>
        </w:rPr>
      </w:pPr>
    </w:p>
    <w:p w:rsidR="003950A4" w:rsidRPr="001C0CCC" w:rsidRDefault="009570BE" w:rsidP="00832C46">
      <w:pPr>
        <w:pStyle w:val="IEEEParagraph"/>
        <w:ind w:firstLine="0"/>
        <w:rPr>
          <w:rFonts w:ascii="Arial" w:hAnsi="Arial" w:cs="Arial"/>
          <w:b/>
          <w:sz w:val="25"/>
          <w:szCs w:val="25"/>
          <w:lang w:val="en-US"/>
        </w:rPr>
      </w:pPr>
      <w:r w:rsidRPr="001C0CCC">
        <w:rPr>
          <w:rFonts w:ascii="Arial" w:hAnsi="Arial" w:cs="Arial"/>
          <w:b/>
          <w:sz w:val="25"/>
          <w:szCs w:val="25"/>
          <w:lang w:val="en-US"/>
        </w:rPr>
        <w:t>UCAPAN TERIMA KASIH</w:t>
      </w:r>
    </w:p>
    <w:p w:rsidR="005D79BF" w:rsidRDefault="00496088" w:rsidP="00832C46">
      <w:pPr>
        <w:pStyle w:val="IEEEParagraph"/>
        <w:ind w:firstLine="0"/>
        <w:rPr>
          <w:rFonts w:ascii="Arial" w:hAnsi="Arial" w:cs="Arial"/>
          <w:lang w:val="sv-SE"/>
        </w:rPr>
      </w:pPr>
      <w:r>
        <w:rPr>
          <w:rStyle w:val="longtext"/>
          <w:rFonts w:ascii="Arial" w:hAnsi="Arial" w:cs="Arial"/>
          <w:shd w:val="clear" w:color="auto" w:fill="FFFFFF"/>
          <w:lang w:val="sv-SE"/>
        </w:rPr>
        <w:t xml:space="preserve">       T</w:t>
      </w:r>
      <w:r>
        <w:rPr>
          <w:rFonts w:ascii="Arial" w:hAnsi="Arial" w:cs="Arial"/>
          <w:lang w:val="sv-SE"/>
        </w:rPr>
        <w:t xml:space="preserve">erima kasih </w:t>
      </w:r>
      <w:r w:rsidRPr="00496088">
        <w:rPr>
          <w:rFonts w:ascii="Arial" w:hAnsi="Arial" w:cs="Arial"/>
          <w:lang w:val="sv-SE"/>
        </w:rPr>
        <w:t>kepada SMK HKTI Temanggung, Jawa Tengah, atas kerja sama dan dukungan yang diberikan dalam pelaksanaan kegiat</w:t>
      </w:r>
      <w:r>
        <w:rPr>
          <w:rFonts w:ascii="Arial" w:hAnsi="Arial" w:cs="Arial"/>
          <w:lang w:val="sv-SE"/>
        </w:rPr>
        <w:t xml:space="preserve">an pengabdian kepada masyarakat. Apresiasi </w:t>
      </w:r>
      <w:r w:rsidRPr="00496088">
        <w:rPr>
          <w:rFonts w:ascii="Arial" w:hAnsi="Arial" w:cs="Arial"/>
          <w:lang w:val="sv-SE"/>
        </w:rPr>
        <w:t xml:space="preserve">disampaikan kepada kepala sekolah, guru, karyawan, serta seluruh siswa yang telah berpartisipasi aktif dalam </w:t>
      </w:r>
      <w:r>
        <w:rPr>
          <w:rFonts w:ascii="Arial" w:hAnsi="Arial" w:cs="Arial"/>
          <w:lang w:val="sv-SE"/>
        </w:rPr>
        <w:t xml:space="preserve">kegiatan pemeriksaan kesehatan. </w:t>
      </w:r>
      <w:r w:rsidRPr="00496088">
        <w:rPr>
          <w:rFonts w:ascii="Arial" w:hAnsi="Arial" w:cs="Arial"/>
          <w:lang w:val="sv-SE"/>
        </w:rPr>
        <w:t>Semoga kolaborasi ini dapat terus berlanjut dalam upaya meningkatkan derajat kesehatan remaja melalui deteksi dini dan pencegahan penyakit tidak menular</w:t>
      </w:r>
      <w:r>
        <w:rPr>
          <w:rFonts w:ascii="Arial" w:hAnsi="Arial" w:cs="Arial"/>
          <w:lang w:val="sv-SE"/>
        </w:rPr>
        <w:t xml:space="preserve"> remaja</w:t>
      </w:r>
      <w:r w:rsidRPr="00496088">
        <w:rPr>
          <w:rFonts w:ascii="Arial" w:hAnsi="Arial" w:cs="Arial"/>
          <w:lang w:val="sv-SE"/>
        </w:rPr>
        <w:t>.</w:t>
      </w:r>
    </w:p>
    <w:p w:rsidR="00581DAA" w:rsidRDefault="00581DAA" w:rsidP="00EC3F6C">
      <w:pPr>
        <w:pStyle w:val="IEEEHeading1"/>
        <w:numPr>
          <w:ilvl w:val="0"/>
          <w:numId w:val="0"/>
        </w:numPr>
        <w:spacing w:before="0" w:after="0"/>
        <w:jc w:val="left"/>
        <w:rPr>
          <w:rFonts w:ascii="Arial" w:hAnsi="Arial" w:cs="Arial"/>
          <w:b/>
          <w:sz w:val="25"/>
          <w:szCs w:val="25"/>
          <w:lang w:val="id-ID"/>
        </w:rPr>
      </w:pPr>
    </w:p>
    <w:p w:rsidR="001928FB" w:rsidRDefault="00633178" w:rsidP="00EC3F6C">
      <w:pPr>
        <w:pStyle w:val="IEEEHeading1"/>
        <w:numPr>
          <w:ilvl w:val="0"/>
          <w:numId w:val="0"/>
        </w:numPr>
        <w:spacing w:before="0" w:after="0"/>
        <w:jc w:val="left"/>
        <w:rPr>
          <w:rFonts w:ascii="Arial" w:hAnsi="Arial" w:cs="Arial"/>
          <w:b/>
          <w:sz w:val="25"/>
          <w:szCs w:val="25"/>
          <w:lang w:val="id-ID"/>
        </w:rPr>
      </w:pPr>
      <w:r w:rsidRPr="001C0CCC">
        <w:rPr>
          <w:rFonts w:ascii="Arial" w:hAnsi="Arial" w:cs="Arial"/>
          <w:b/>
          <w:sz w:val="25"/>
          <w:szCs w:val="25"/>
          <w:lang w:val="id-ID"/>
        </w:rPr>
        <w:t>DAFTAR RUJUKAN</w:t>
      </w:r>
    </w:p>
    <w:p w:rsidR="0044016E" w:rsidRPr="007A68BB" w:rsidRDefault="0044016E" w:rsidP="007A68BB">
      <w:pPr>
        <w:pStyle w:val="IEEEParagraph"/>
        <w:rPr>
          <w:rFonts w:ascii="Arial" w:hAnsi="Arial" w:cs="Arial"/>
          <w:lang w:val="id-ID"/>
        </w:rPr>
      </w:pPr>
    </w:p>
    <w:p w:rsidR="007A68BB" w:rsidRPr="007A68BB" w:rsidRDefault="0055703E" w:rsidP="007A68BB">
      <w:pPr>
        <w:widowControl w:val="0"/>
        <w:autoSpaceDE w:val="0"/>
        <w:autoSpaceDN w:val="0"/>
        <w:adjustRightInd w:val="0"/>
        <w:ind w:left="426" w:hanging="426"/>
        <w:jc w:val="both"/>
        <w:rPr>
          <w:rFonts w:ascii="Arial" w:hAnsi="Arial" w:cs="Arial"/>
          <w:noProof/>
        </w:rPr>
      </w:pPr>
      <w:r w:rsidRPr="007A68BB">
        <w:rPr>
          <w:rFonts w:ascii="Arial" w:hAnsi="Arial" w:cs="Arial"/>
          <w:lang w:val="id-ID"/>
        </w:rPr>
        <w:fldChar w:fldCharType="begin" w:fldLock="1"/>
      </w:r>
      <w:r w:rsidRPr="007A68BB">
        <w:rPr>
          <w:rFonts w:ascii="Arial" w:hAnsi="Arial" w:cs="Arial"/>
          <w:lang w:val="id-ID"/>
        </w:rPr>
        <w:instrText xml:space="preserve">ADDIN Mendeley Bibliography CSL_BIBLIOGRAPHY </w:instrText>
      </w:r>
      <w:r w:rsidRPr="007A68BB">
        <w:rPr>
          <w:rFonts w:ascii="Arial" w:hAnsi="Arial" w:cs="Arial"/>
          <w:lang w:val="id-ID"/>
        </w:rPr>
        <w:fldChar w:fldCharType="separate"/>
      </w:r>
      <w:r w:rsidR="007A68BB" w:rsidRPr="007A68BB">
        <w:rPr>
          <w:rFonts w:ascii="Arial" w:hAnsi="Arial" w:cs="Arial"/>
          <w:noProof/>
        </w:rPr>
        <w:t xml:space="preserve">1. </w:t>
      </w:r>
      <w:r w:rsidR="007A68BB" w:rsidRPr="007A68BB">
        <w:rPr>
          <w:rFonts w:ascii="Arial" w:hAnsi="Arial" w:cs="Arial"/>
          <w:noProof/>
        </w:rPr>
        <w:tab/>
        <w:t xml:space="preserve">Siswanto Y, Lestari IP. Pengetahuan PTM dan Faktor Risiko Perilaku pada Remaja. J Pro Heal. 2020;2(1):1–2. </w:t>
      </w:r>
    </w:p>
    <w:p w:rsidR="007A68BB" w:rsidRPr="007A68BB" w:rsidRDefault="007A68BB" w:rsidP="007A68BB">
      <w:pPr>
        <w:widowControl w:val="0"/>
        <w:autoSpaceDE w:val="0"/>
        <w:autoSpaceDN w:val="0"/>
        <w:adjustRightInd w:val="0"/>
        <w:ind w:left="426" w:hanging="426"/>
        <w:jc w:val="both"/>
        <w:rPr>
          <w:rFonts w:ascii="Arial" w:hAnsi="Arial" w:cs="Arial"/>
          <w:noProof/>
        </w:rPr>
      </w:pPr>
      <w:r w:rsidRPr="007A68BB">
        <w:rPr>
          <w:rFonts w:ascii="Arial" w:hAnsi="Arial" w:cs="Arial"/>
          <w:noProof/>
        </w:rPr>
        <w:t xml:space="preserve">2. </w:t>
      </w:r>
      <w:r w:rsidRPr="007A68BB">
        <w:rPr>
          <w:rFonts w:ascii="Arial" w:hAnsi="Arial" w:cs="Arial"/>
          <w:noProof/>
        </w:rPr>
        <w:tab/>
        <w:t xml:space="preserve">Fadhilah S, Rusliani DM, Nuryati A, Suryantara B. Deteksi Dini Faktor Risiko Penyakit Tidak Menular pada Remaja Karang Taruna: Skrining dan Upaya Pencegahan. Room Civ Soc Dev. 2025;4(1):222–33. </w:t>
      </w:r>
    </w:p>
    <w:p w:rsidR="007A68BB" w:rsidRPr="007A68BB" w:rsidRDefault="007A68BB" w:rsidP="007A68BB">
      <w:pPr>
        <w:widowControl w:val="0"/>
        <w:autoSpaceDE w:val="0"/>
        <w:autoSpaceDN w:val="0"/>
        <w:adjustRightInd w:val="0"/>
        <w:ind w:left="426" w:hanging="426"/>
        <w:jc w:val="both"/>
        <w:rPr>
          <w:rFonts w:ascii="Arial" w:hAnsi="Arial" w:cs="Arial"/>
          <w:noProof/>
        </w:rPr>
      </w:pPr>
      <w:r w:rsidRPr="007A68BB">
        <w:rPr>
          <w:rFonts w:ascii="Arial" w:hAnsi="Arial" w:cs="Arial"/>
          <w:noProof/>
        </w:rPr>
        <w:t xml:space="preserve">3. </w:t>
      </w:r>
      <w:r w:rsidRPr="007A68BB">
        <w:rPr>
          <w:rFonts w:ascii="Arial" w:hAnsi="Arial" w:cs="Arial"/>
          <w:noProof/>
        </w:rPr>
        <w:tab/>
        <w:t xml:space="preserve">Aulina CN, Nisak K. Edukasi dan Pemeriksaan Kesehatan Remaja di Pondok An-Nur Tanggulangin Sidoarjo. J Pengabdi Masy dan Apl Teknol Edukasi. 2026;05(01):7–14. </w:t>
      </w:r>
    </w:p>
    <w:p w:rsidR="007A68BB" w:rsidRPr="007A68BB" w:rsidRDefault="007A68BB" w:rsidP="007A68BB">
      <w:pPr>
        <w:widowControl w:val="0"/>
        <w:autoSpaceDE w:val="0"/>
        <w:autoSpaceDN w:val="0"/>
        <w:adjustRightInd w:val="0"/>
        <w:ind w:left="426" w:hanging="426"/>
        <w:jc w:val="both"/>
        <w:rPr>
          <w:rFonts w:ascii="Arial" w:hAnsi="Arial" w:cs="Arial"/>
          <w:noProof/>
        </w:rPr>
      </w:pPr>
      <w:r w:rsidRPr="007A68BB">
        <w:rPr>
          <w:rFonts w:ascii="Arial" w:hAnsi="Arial" w:cs="Arial"/>
          <w:noProof/>
        </w:rPr>
        <w:t xml:space="preserve">4. </w:t>
      </w:r>
      <w:r w:rsidRPr="007A68BB">
        <w:rPr>
          <w:rFonts w:ascii="Arial" w:hAnsi="Arial" w:cs="Arial"/>
          <w:noProof/>
        </w:rPr>
        <w:tab/>
        <w:t xml:space="preserve">Adam Y, Purwandari A, Lontaan A, Montolalu A. Jurnal Pengabdian Masyarakat Cendikia Jenius. J Pengabdi Masy Cendikia Jenius. 2024;1:9–16. </w:t>
      </w:r>
    </w:p>
    <w:p w:rsidR="007A68BB" w:rsidRPr="007A68BB" w:rsidRDefault="007A68BB" w:rsidP="007A68BB">
      <w:pPr>
        <w:widowControl w:val="0"/>
        <w:autoSpaceDE w:val="0"/>
        <w:autoSpaceDN w:val="0"/>
        <w:adjustRightInd w:val="0"/>
        <w:ind w:left="426" w:hanging="426"/>
        <w:jc w:val="both"/>
        <w:rPr>
          <w:rFonts w:ascii="Arial" w:hAnsi="Arial" w:cs="Arial"/>
          <w:noProof/>
        </w:rPr>
      </w:pPr>
      <w:r w:rsidRPr="007A68BB">
        <w:rPr>
          <w:rFonts w:ascii="Arial" w:hAnsi="Arial" w:cs="Arial"/>
          <w:noProof/>
        </w:rPr>
        <w:t xml:space="preserve">5. </w:t>
      </w:r>
      <w:r w:rsidRPr="007A68BB">
        <w:rPr>
          <w:rFonts w:ascii="Arial" w:hAnsi="Arial" w:cs="Arial"/>
          <w:noProof/>
        </w:rPr>
        <w:tab/>
        <w:t xml:space="preserve">Pengpid S, Peltzer K. Behavioral risk factors of non-communicable diseases among a nationally representative sample of school-going adolescents in Indonesia. Int J Gen Med. 2019;12:387–94. </w:t>
      </w:r>
    </w:p>
    <w:p w:rsidR="007A68BB" w:rsidRPr="007A68BB" w:rsidRDefault="007A68BB" w:rsidP="007A68BB">
      <w:pPr>
        <w:widowControl w:val="0"/>
        <w:autoSpaceDE w:val="0"/>
        <w:autoSpaceDN w:val="0"/>
        <w:adjustRightInd w:val="0"/>
        <w:ind w:left="426" w:hanging="426"/>
        <w:jc w:val="both"/>
        <w:rPr>
          <w:rFonts w:ascii="Arial" w:hAnsi="Arial" w:cs="Arial"/>
          <w:noProof/>
        </w:rPr>
      </w:pPr>
      <w:r w:rsidRPr="007A68BB">
        <w:rPr>
          <w:rFonts w:ascii="Arial" w:hAnsi="Arial" w:cs="Arial"/>
          <w:noProof/>
        </w:rPr>
        <w:t xml:space="preserve">6. </w:t>
      </w:r>
      <w:r w:rsidRPr="007A68BB">
        <w:rPr>
          <w:rFonts w:ascii="Arial" w:hAnsi="Arial" w:cs="Arial"/>
          <w:noProof/>
        </w:rPr>
        <w:tab/>
        <w:t xml:space="preserve">Fathurohman M, Tri A, Partita K, Salasanti CD, Hidayati ND, Rahayuningsih N, et al. Penyuluhan Kesehatan Terhadap Pelajar Di Sekolah Menengah </w:t>
      </w:r>
      <w:r w:rsidRPr="007A68BB">
        <w:rPr>
          <w:rFonts w:ascii="Arial" w:hAnsi="Arial" w:cs="Arial"/>
          <w:noProof/>
        </w:rPr>
        <w:lastRenderedPageBreak/>
        <w:t xml:space="preserve">Atas Sebagai Upaya Mewujudkan Program Pelayanan Kesehatan Peduli Remaja. J Masy Mandiri. 2024;8(2):1–4. </w:t>
      </w:r>
    </w:p>
    <w:p w:rsidR="007A68BB" w:rsidRPr="007A68BB" w:rsidRDefault="007A68BB" w:rsidP="007A68BB">
      <w:pPr>
        <w:widowControl w:val="0"/>
        <w:autoSpaceDE w:val="0"/>
        <w:autoSpaceDN w:val="0"/>
        <w:adjustRightInd w:val="0"/>
        <w:ind w:left="426" w:hanging="426"/>
        <w:jc w:val="both"/>
        <w:rPr>
          <w:rFonts w:ascii="Arial" w:hAnsi="Arial" w:cs="Arial"/>
          <w:noProof/>
        </w:rPr>
      </w:pPr>
      <w:r w:rsidRPr="007A68BB">
        <w:rPr>
          <w:rFonts w:ascii="Arial" w:hAnsi="Arial" w:cs="Arial"/>
          <w:noProof/>
        </w:rPr>
        <w:t xml:space="preserve">7. </w:t>
      </w:r>
      <w:r w:rsidRPr="007A68BB">
        <w:rPr>
          <w:rFonts w:ascii="Arial" w:hAnsi="Arial" w:cs="Arial"/>
          <w:noProof/>
        </w:rPr>
        <w:tab/>
        <w:t xml:space="preserve">Dewi ER, Ulfa M, Caesar DL, Prasetyo E, Wachid A, Mubaroq MH. Pemanfaatan Media Sosial dalam Upaya Meningkatkan Pemeriksaan Kesehatan Gratis (PKG) bagi Masyarakat Kabupaten Kudus. J Pengabdi Masy Kesehat Terkini. 2025;4(2):73–81. </w:t>
      </w:r>
    </w:p>
    <w:p w:rsidR="007A68BB" w:rsidRPr="007A68BB" w:rsidRDefault="007A68BB" w:rsidP="007A68BB">
      <w:pPr>
        <w:widowControl w:val="0"/>
        <w:autoSpaceDE w:val="0"/>
        <w:autoSpaceDN w:val="0"/>
        <w:adjustRightInd w:val="0"/>
        <w:ind w:left="426" w:hanging="426"/>
        <w:jc w:val="both"/>
        <w:rPr>
          <w:rFonts w:ascii="Arial" w:hAnsi="Arial" w:cs="Arial"/>
          <w:noProof/>
        </w:rPr>
      </w:pPr>
      <w:r w:rsidRPr="007A68BB">
        <w:rPr>
          <w:rFonts w:ascii="Arial" w:hAnsi="Arial" w:cs="Arial"/>
          <w:noProof/>
        </w:rPr>
        <w:t xml:space="preserve">8. </w:t>
      </w:r>
      <w:r w:rsidRPr="007A68BB">
        <w:rPr>
          <w:rFonts w:ascii="Arial" w:hAnsi="Arial" w:cs="Arial"/>
          <w:noProof/>
        </w:rPr>
        <w:tab/>
        <w:t xml:space="preserve">Flynn JT, Kaelber DC, Baker-Smith CM, Blowey D, Carroll AE, Daniels SR, et al. Clinical practice guideline for screening and management of high blood pressure in children and adolescents. Pediatrics. 2017;140(3). </w:t>
      </w:r>
    </w:p>
    <w:p w:rsidR="007A68BB" w:rsidRPr="007A68BB" w:rsidRDefault="007A68BB" w:rsidP="007A68BB">
      <w:pPr>
        <w:widowControl w:val="0"/>
        <w:autoSpaceDE w:val="0"/>
        <w:autoSpaceDN w:val="0"/>
        <w:adjustRightInd w:val="0"/>
        <w:ind w:left="426" w:hanging="426"/>
        <w:jc w:val="both"/>
        <w:rPr>
          <w:rFonts w:ascii="Arial" w:hAnsi="Arial" w:cs="Arial"/>
          <w:noProof/>
        </w:rPr>
      </w:pPr>
      <w:r w:rsidRPr="007A68BB">
        <w:rPr>
          <w:rFonts w:ascii="Arial" w:hAnsi="Arial" w:cs="Arial"/>
          <w:noProof/>
        </w:rPr>
        <w:t xml:space="preserve">9. </w:t>
      </w:r>
      <w:r w:rsidRPr="007A68BB">
        <w:rPr>
          <w:rFonts w:ascii="Arial" w:hAnsi="Arial" w:cs="Arial"/>
          <w:noProof/>
        </w:rPr>
        <w:tab/>
        <w:t>Anastasopoulou C. Type 2 Diabetes Diagnostic Criteria by the ADA [Internet]. Diabetes Care. 2025. Available from: https://emedicine.medscape.com/article/2172154</w:t>
      </w:r>
    </w:p>
    <w:p w:rsidR="007A68BB" w:rsidRPr="007A68BB" w:rsidRDefault="007A68BB" w:rsidP="007A68BB">
      <w:pPr>
        <w:widowControl w:val="0"/>
        <w:autoSpaceDE w:val="0"/>
        <w:autoSpaceDN w:val="0"/>
        <w:adjustRightInd w:val="0"/>
        <w:ind w:left="426" w:hanging="426"/>
        <w:jc w:val="both"/>
        <w:rPr>
          <w:rFonts w:ascii="Arial" w:hAnsi="Arial" w:cs="Arial"/>
          <w:noProof/>
        </w:rPr>
      </w:pPr>
      <w:r w:rsidRPr="007A68BB">
        <w:rPr>
          <w:rFonts w:ascii="Arial" w:hAnsi="Arial" w:cs="Arial"/>
          <w:noProof/>
        </w:rPr>
        <w:t xml:space="preserve">10. </w:t>
      </w:r>
      <w:r w:rsidRPr="007A68BB">
        <w:rPr>
          <w:rFonts w:ascii="Arial" w:hAnsi="Arial" w:cs="Arial"/>
          <w:noProof/>
        </w:rPr>
        <w:tab/>
        <w:t xml:space="preserve">Herraiz-Adillo Á, Eriksson H, Ahlqvist VH, Ballin M, Wennberg P, Daka B, et al. Blood Pressure in Adolescence and Atherosclerosis in Middle Age. JAMA Cardiol. 2026;11(1):14–24. </w:t>
      </w:r>
    </w:p>
    <w:p w:rsidR="007A68BB" w:rsidRPr="007A68BB" w:rsidRDefault="007A68BB" w:rsidP="007A68BB">
      <w:pPr>
        <w:widowControl w:val="0"/>
        <w:autoSpaceDE w:val="0"/>
        <w:autoSpaceDN w:val="0"/>
        <w:adjustRightInd w:val="0"/>
        <w:ind w:left="426" w:hanging="426"/>
        <w:jc w:val="both"/>
        <w:rPr>
          <w:rFonts w:ascii="Arial" w:hAnsi="Arial" w:cs="Arial"/>
          <w:noProof/>
        </w:rPr>
      </w:pPr>
      <w:r w:rsidRPr="007A68BB">
        <w:rPr>
          <w:rFonts w:ascii="Arial" w:hAnsi="Arial" w:cs="Arial"/>
          <w:noProof/>
        </w:rPr>
        <w:t xml:space="preserve">11. </w:t>
      </w:r>
      <w:r w:rsidRPr="007A68BB">
        <w:rPr>
          <w:rFonts w:ascii="Arial" w:hAnsi="Arial" w:cs="Arial"/>
          <w:noProof/>
        </w:rPr>
        <w:tab/>
        <w:t xml:space="preserve">Lestari AA, Syarif S. Telaah Sistematik Dan Meta-Analisis : Faktor Risiko Prehipertensi Pada Remaja Di Beberapa Negara. J Kesehat Tambusai. 2024;5(4):13906–17. </w:t>
      </w:r>
    </w:p>
    <w:p w:rsidR="007A68BB" w:rsidRPr="007A68BB" w:rsidRDefault="007A68BB" w:rsidP="007A68BB">
      <w:pPr>
        <w:widowControl w:val="0"/>
        <w:autoSpaceDE w:val="0"/>
        <w:autoSpaceDN w:val="0"/>
        <w:adjustRightInd w:val="0"/>
        <w:ind w:left="426" w:hanging="426"/>
        <w:jc w:val="both"/>
        <w:rPr>
          <w:rFonts w:ascii="Arial" w:hAnsi="Arial" w:cs="Arial"/>
          <w:noProof/>
        </w:rPr>
      </w:pPr>
      <w:r w:rsidRPr="007A68BB">
        <w:rPr>
          <w:rFonts w:ascii="Arial" w:hAnsi="Arial" w:cs="Arial"/>
          <w:noProof/>
        </w:rPr>
        <w:t xml:space="preserve">12. </w:t>
      </w:r>
      <w:r w:rsidRPr="007A68BB">
        <w:rPr>
          <w:rFonts w:ascii="Arial" w:hAnsi="Arial" w:cs="Arial"/>
          <w:noProof/>
        </w:rPr>
        <w:tab/>
        <w:t xml:space="preserve">Resmiati, Puri IY, Masnarivan Y, Azrimaidaliza. Peningkatan Kesadaran Remaja Terhadap Diabetes Mellitus Melalui Program Penyuluhan Dan Pemeriksaan Kadar Gula Darah Di Kota Padang. Panrita Abdi - J Pengabdi pada Masy. 2025;9(3):549–57. </w:t>
      </w:r>
    </w:p>
    <w:p w:rsidR="007A68BB" w:rsidRPr="007A68BB" w:rsidRDefault="007A68BB" w:rsidP="007A68BB">
      <w:pPr>
        <w:widowControl w:val="0"/>
        <w:autoSpaceDE w:val="0"/>
        <w:autoSpaceDN w:val="0"/>
        <w:adjustRightInd w:val="0"/>
        <w:ind w:left="426" w:hanging="426"/>
        <w:jc w:val="both"/>
        <w:rPr>
          <w:rFonts w:ascii="Arial" w:hAnsi="Arial" w:cs="Arial"/>
          <w:noProof/>
        </w:rPr>
      </w:pPr>
      <w:r w:rsidRPr="007A68BB">
        <w:rPr>
          <w:rFonts w:ascii="Arial" w:hAnsi="Arial" w:cs="Arial"/>
          <w:noProof/>
        </w:rPr>
        <w:t xml:space="preserve">13. </w:t>
      </w:r>
      <w:r w:rsidRPr="007A68BB">
        <w:rPr>
          <w:rFonts w:ascii="Arial" w:hAnsi="Arial" w:cs="Arial"/>
          <w:noProof/>
        </w:rPr>
        <w:tab/>
        <w:t xml:space="preserve">Pobas S, Sary DA, Hapsari FD, Wuladari WK. Edukasi Tentang Pentingnya Skrining Dan Kontrol Rutin Terhadap Pencegahan Penyakit Tidak Menular Pada Usia Produktif. Soc J Pengabdi Masy. 2025;4(4):513–20. </w:t>
      </w:r>
    </w:p>
    <w:p w:rsidR="007A68BB" w:rsidRPr="007A68BB" w:rsidRDefault="007A68BB" w:rsidP="007A68BB">
      <w:pPr>
        <w:widowControl w:val="0"/>
        <w:autoSpaceDE w:val="0"/>
        <w:autoSpaceDN w:val="0"/>
        <w:adjustRightInd w:val="0"/>
        <w:ind w:left="426" w:hanging="426"/>
        <w:jc w:val="both"/>
        <w:rPr>
          <w:rFonts w:ascii="Arial" w:hAnsi="Arial" w:cs="Arial"/>
          <w:noProof/>
        </w:rPr>
      </w:pPr>
      <w:r w:rsidRPr="007A68BB">
        <w:rPr>
          <w:rFonts w:ascii="Arial" w:hAnsi="Arial" w:cs="Arial"/>
          <w:noProof/>
        </w:rPr>
        <w:t xml:space="preserve">14. </w:t>
      </w:r>
      <w:r w:rsidRPr="007A68BB">
        <w:rPr>
          <w:rFonts w:ascii="Arial" w:hAnsi="Arial" w:cs="Arial"/>
          <w:noProof/>
        </w:rPr>
        <w:tab/>
        <w:t xml:space="preserve">Zuniga RE, Deboer MD. Prediabetes in adolescents: Prevalence, management and diabetes prevention strategies. Diabetes, Metab Syndr Obes. 2021;14:4609–19. </w:t>
      </w:r>
    </w:p>
    <w:p w:rsidR="007A68BB" w:rsidRPr="007A68BB" w:rsidRDefault="007A68BB" w:rsidP="007A68BB">
      <w:pPr>
        <w:widowControl w:val="0"/>
        <w:autoSpaceDE w:val="0"/>
        <w:autoSpaceDN w:val="0"/>
        <w:adjustRightInd w:val="0"/>
        <w:ind w:left="426" w:hanging="426"/>
        <w:jc w:val="both"/>
        <w:rPr>
          <w:rFonts w:ascii="Arial" w:hAnsi="Arial" w:cs="Arial"/>
          <w:noProof/>
        </w:rPr>
      </w:pPr>
      <w:r w:rsidRPr="007A68BB">
        <w:rPr>
          <w:rFonts w:ascii="Arial" w:hAnsi="Arial" w:cs="Arial"/>
          <w:noProof/>
        </w:rPr>
        <w:t xml:space="preserve">15. </w:t>
      </w:r>
      <w:r w:rsidRPr="007A68BB">
        <w:rPr>
          <w:rFonts w:ascii="Arial" w:hAnsi="Arial" w:cs="Arial"/>
          <w:noProof/>
        </w:rPr>
        <w:tab/>
        <w:t xml:space="preserve">Lisnawati N, Kusmiyati F, Herwibawa B, Kristanto BA, 1 AR. Diabetes merupakan salah satu penyakit kronis yang menjadi masalah prioritas dunia untuk segera ditangani . Data World Health Organization ( WHO ) menunjukkan bahwa secara global penderita Prevalensi Diabetes Mellitus Tipe 2 pada anak-anak dan remaja di b. J Nutr Coll. 2023;12(April):168–78. </w:t>
      </w:r>
    </w:p>
    <w:p w:rsidR="007A68BB" w:rsidRPr="007A68BB" w:rsidRDefault="007A68BB" w:rsidP="007A68BB">
      <w:pPr>
        <w:widowControl w:val="0"/>
        <w:autoSpaceDE w:val="0"/>
        <w:autoSpaceDN w:val="0"/>
        <w:adjustRightInd w:val="0"/>
        <w:ind w:left="426" w:hanging="426"/>
        <w:jc w:val="both"/>
        <w:rPr>
          <w:rFonts w:ascii="Arial" w:hAnsi="Arial" w:cs="Arial"/>
          <w:noProof/>
        </w:rPr>
      </w:pPr>
      <w:r w:rsidRPr="007A68BB">
        <w:rPr>
          <w:rFonts w:ascii="Arial" w:hAnsi="Arial" w:cs="Arial"/>
          <w:noProof/>
        </w:rPr>
        <w:t xml:space="preserve">16. </w:t>
      </w:r>
      <w:r w:rsidRPr="007A68BB">
        <w:rPr>
          <w:rFonts w:ascii="Arial" w:hAnsi="Arial" w:cs="Arial"/>
          <w:noProof/>
        </w:rPr>
        <w:tab/>
        <w:t>Sa</w:t>
      </w:r>
      <w:r>
        <w:rPr>
          <w:rFonts w:ascii="Arial" w:hAnsi="Arial" w:cs="Arial"/>
          <w:noProof/>
        </w:rPr>
        <w:t>limar, Setyawati B, Rika R. Per</w:t>
      </w:r>
      <w:r w:rsidRPr="007A68BB">
        <w:rPr>
          <w:rFonts w:ascii="Arial" w:hAnsi="Arial" w:cs="Arial"/>
          <w:noProof/>
        </w:rPr>
        <w:t xml:space="preserve">ilaku Gaya Hidup Remaja Berisiko Terkait Penyak It Tidak Menular Di Indonesia. Penelit Gizi dan Makanan. 2021;44(1):11–20. </w:t>
      </w:r>
    </w:p>
    <w:p w:rsidR="00BE340C" w:rsidRDefault="0055703E" w:rsidP="007A68BB">
      <w:pPr>
        <w:pStyle w:val="IEEEParagraph"/>
        <w:rPr>
          <w:lang w:val="id-ID"/>
        </w:rPr>
      </w:pPr>
      <w:r w:rsidRPr="007A68BB">
        <w:rPr>
          <w:rFonts w:ascii="Arial" w:hAnsi="Arial" w:cs="Arial"/>
          <w:lang w:val="id-ID"/>
        </w:rPr>
        <w:fldChar w:fldCharType="end"/>
      </w:r>
    </w:p>
    <w:sectPr w:rsidR="00BE340C" w:rsidSect="00B47460">
      <w:type w:val="continuous"/>
      <w:pgSz w:w="11906" w:h="16838" w:code="9"/>
      <w:pgMar w:top="1134" w:right="1701" w:bottom="1134" w:left="1701" w:header="454" w:footer="397" w:gutter="0"/>
      <w:cols w:space="23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ADD" w:rsidRDefault="008F3ADD" w:rsidP="00A1414F">
      <w:r>
        <w:separator/>
      </w:r>
    </w:p>
  </w:endnote>
  <w:endnote w:type="continuationSeparator" w:id="0">
    <w:p w:rsidR="008F3ADD" w:rsidRDefault="008F3ADD"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9DC" w:rsidRDefault="008F3ADD" w:rsidP="00922A80">
    <w:pPr>
      <w:pStyle w:val="Footer"/>
      <w:jc w:val="center"/>
    </w:pPr>
    <w:sdt>
      <w:sdtPr>
        <w:id w:val="-303084485"/>
        <w:docPartObj>
          <w:docPartGallery w:val="Page Numbers (Bottom of Page)"/>
          <w:docPartUnique/>
        </w:docPartObj>
      </w:sdtPr>
      <w:sdtEndPr/>
      <w:sdtContent>
        <w:r w:rsidR="00F549DC">
          <w:fldChar w:fldCharType="begin"/>
        </w:r>
        <w:r w:rsidR="00F549DC">
          <w:instrText xml:space="preserve"> PAGE   \* MERGEFORMAT </w:instrText>
        </w:r>
        <w:r w:rsidR="00F549DC">
          <w:fldChar w:fldCharType="separate"/>
        </w:r>
        <w:r w:rsidR="00F549DC">
          <w:rPr>
            <w:noProof/>
          </w:rPr>
          <w:t>1</w:t>
        </w:r>
        <w:r w:rsidR="00F549DC">
          <w:rPr>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ADD" w:rsidRDefault="008F3ADD" w:rsidP="00A1414F">
      <w:r>
        <w:separator/>
      </w:r>
    </w:p>
  </w:footnote>
  <w:footnote w:type="continuationSeparator" w:id="0">
    <w:p w:rsidR="008F3ADD" w:rsidRDefault="008F3ADD" w:rsidP="00A141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CB8" w:rsidRPr="001C0CCC" w:rsidRDefault="002D2CB8" w:rsidP="002D2CB8">
    <w:pPr>
      <w:rPr>
        <w:rFonts w:ascii="Arial" w:hAnsi="Arial" w:cs="Arial"/>
        <w:b/>
        <w:sz w:val="20"/>
        <w:szCs w:val="20"/>
      </w:rPr>
    </w:pPr>
    <w:r w:rsidRPr="001C0CCC">
      <w:rPr>
        <w:rFonts w:ascii="Arial" w:hAnsi="Arial" w:cs="Arial"/>
        <w:b/>
        <w:sz w:val="20"/>
        <w:szCs w:val="20"/>
      </w:rPr>
      <w:t xml:space="preserve">VITAL </w:t>
    </w:r>
    <w:r>
      <w:rPr>
        <w:rFonts w:ascii="Arial" w:hAnsi="Arial" w:cs="Arial"/>
        <w:b/>
        <w:sz w:val="20"/>
        <w:szCs w:val="20"/>
      </w:rPr>
      <w:t xml:space="preserve">KARSA </w:t>
    </w:r>
    <w:r w:rsidRPr="001C0CCC">
      <w:rPr>
        <w:rFonts w:ascii="Arial" w:hAnsi="Arial" w:cs="Arial"/>
        <w:b/>
        <w:sz w:val="20"/>
        <w:szCs w:val="20"/>
      </w:rPr>
      <w:t>Jurnal Pengabdian dan Kewirausahaan</w:t>
    </w:r>
  </w:p>
  <w:p w:rsidR="002D2CB8" w:rsidRPr="001C0CCC" w:rsidRDefault="002D2CB8" w:rsidP="002D2CB8">
    <w:pPr>
      <w:rPr>
        <w:rFonts w:ascii="Arial" w:hAnsi="Arial" w:cs="Arial"/>
        <w:b/>
        <w:sz w:val="20"/>
        <w:szCs w:val="20"/>
      </w:rPr>
    </w:pPr>
    <w:hyperlink r:id="rId1" w:history="1">
      <w:r w:rsidRPr="001C0CCC">
        <w:rPr>
          <w:rStyle w:val="Hyperlink"/>
          <w:rFonts w:ascii="Arial" w:hAnsi="Arial" w:cs="Arial"/>
          <w:b/>
          <w:sz w:val="20"/>
          <w:szCs w:val="20"/>
        </w:rPr>
        <w:t>https://jurnal.akperalkautsar.ac.id/index.php/pengabdian</w:t>
      </w:r>
    </w:hyperlink>
    <w:r w:rsidRPr="001C0CCC">
      <w:rPr>
        <w:rFonts w:ascii="Arial" w:hAnsi="Arial" w:cs="Arial"/>
        <w:b/>
        <w:sz w:val="20"/>
        <w:szCs w:val="20"/>
      </w:rPr>
      <w:t xml:space="preserve"> </w:t>
    </w:r>
  </w:p>
  <w:p w:rsidR="002D2CB8" w:rsidRPr="001C0CCC" w:rsidRDefault="002D2CB8" w:rsidP="002D2CB8">
    <w:pPr>
      <w:rPr>
        <w:rFonts w:ascii="Arial" w:hAnsi="Arial" w:cs="Arial"/>
        <w:b/>
        <w:sz w:val="20"/>
        <w:szCs w:val="20"/>
      </w:rPr>
    </w:pPr>
    <w:r w:rsidRPr="001C0CCC">
      <w:rPr>
        <w:rFonts w:ascii="Arial" w:hAnsi="Arial" w:cs="Arial"/>
        <w:b/>
        <w:sz w:val="20"/>
        <w:szCs w:val="20"/>
      </w:rPr>
      <w:t xml:space="preserve">Vol. </w:t>
    </w:r>
    <w:r>
      <w:rPr>
        <w:rFonts w:ascii="Arial" w:hAnsi="Arial" w:cs="Arial"/>
        <w:b/>
        <w:sz w:val="20"/>
        <w:szCs w:val="20"/>
      </w:rPr>
      <w:t>1 No 1 November</w:t>
    </w:r>
    <w:r w:rsidRPr="001C0CCC">
      <w:rPr>
        <w:rFonts w:ascii="Arial" w:hAnsi="Arial" w:cs="Arial"/>
        <w:b/>
        <w:sz w:val="20"/>
        <w:szCs w:val="20"/>
      </w:rPr>
      <w:t xml:space="preserve"> </w:t>
    </w:r>
    <w:r>
      <w:rPr>
        <w:rFonts w:ascii="Arial" w:hAnsi="Arial" w:cs="Arial"/>
        <w:b/>
        <w:sz w:val="20"/>
        <w:szCs w:val="20"/>
      </w:rPr>
      <w:t xml:space="preserve">2025 </w:t>
    </w:r>
    <w:r w:rsidRPr="001C0CCC">
      <w:rPr>
        <w:rFonts w:ascii="Arial" w:hAnsi="Arial" w:cs="Arial"/>
        <w:b/>
        <w:sz w:val="20"/>
        <w:szCs w:val="20"/>
      </w:rPr>
      <w:t>Hal. XX-XX</w:t>
    </w:r>
  </w:p>
  <w:p w:rsidR="002D2CB8" w:rsidRPr="001C0CCC" w:rsidRDefault="002D2CB8" w:rsidP="002D2CB8">
    <w:pPr>
      <w:rPr>
        <w:rFonts w:ascii="Arial" w:hAnsi="Arial" w:cs="Arial"/>
        <w:sz w:val="20"/>
        <w:szCs w:val="20"/>
      </w:rPr>
    </w:pPr>
    <w:r w:rsidRPr="001C0CCC">
      <w:rPr>
        <w:rFonts w:ascii="Arial" w:hAnsi="Arial" w:cs="Arial"/>
        <w:sz w:val="20"/>
        <w:szCs w:val="20"/>
      </w:rPr>
      <w:t xml:space="preserve">e-ISSN </w:t>
    </w:r>
    <w:r w:rsidRPr="001C0CCC">
      <w:rPr>
        <w:rFonts w:ascii="Arial" w:hAnsi="Arial" w:cs="Arial"/>
        <w:color w:val="000000"/>
        <w:sz w:val="20"/>
        <w:szCs w:val="20"/>
        <w:shd w:val="clear" w:color="auto" w:fill="FFFFFF"/>
      </w:rPr>
      <w:t>xxxxxx</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9DC" w:rsidRDefault="008F3ADD">
    <w:pPr>
      <w:pStyle w:val="Header"/>
      <w:rPr>
        <w:noProof/>
        <w:lang w:val="en-US" w:eastAsia="en-US"/>
      </w:rPr>
    </w:pPr>
    <w:r>
      <w:rPr>
        <w:noProof/>
        <w:lang w:val="en-US" w:eastAsia="en-US"/>
      </w:rPr>
      <w:pict>
        <v:shapetype id="_x0000_t202" coordsize="21600,21600" o:spt="202" path="m,l,21600r21600,l21600,xe">
          <v:stroke joinstyle="miter"/>
          <v:path gradientshapeok="t" o:connecttype="rect"/>
        </v:shapetype>
        <v:shape id="_x0000_s2053" type="#_x0000_t202" style="position:absolute;margin-left:-51.55pt;margin-top:-9.15pt;width:290.35pt;height:78.3pt;z-index:251660288" strokecolor="white [3212]" strokeweight="0">
          <v:fill opacity="0"/>
          <v:textbox style="mso-next-textbox:#_x0000_s2053">
            <w:txbxContent>
              <w:p w:rsidR="00F549DC" w:rsidRPr="001C0CCC" w:rsidRDefault="00F549DC" w:rsidP="0015489E">
                <w:pPr>
                  <w:rPr>
                    <w:rFonts w:ascii="Arial" w:hAnsi="Arial" w:cs="Arial"/>
                    <w:b/>
                    <w:sz w:val="20"/>
                    <w:szCs w:val="20"/>
                  </w:rPr>
                </w:pPr>
                <w:r w:rsidRPr="001C0CCC">
                  <w:rPr>
                    <w:rFonts w:ascii="Arial" w:hAnsi="Arial" w:cs="Arial"/>
                    <w:b/>
                    <w:sz w:val="20"/>
                    <w:szCs w:val="20"/>
                  </w:rPr>
                  <w:t>VITAL Jurnal Pengabdian dan Kewirausahaan</w:t>
                </w:r>
              </w:p>
              <w:p w:rsidR="00F549DC" w:rsidRPr="001C0CCC" w:rsidRDefault="008F3ADD" w:rsidP="0015489E">
                <w:pPr>
                  <w:rPr>
                    <w:rFonts w:ascii="Arial" w:hAnsi="Arial" w:cs="Arial"/>
                    <w:b/>
                    <w:sz w:val="20"/>
                    <w:szCs w:val="20"/>
                  </w:rPr>
                </w:pPr>
                <w:hyperlink r:id="rId1" w:history="1">
                  <w:r w:rsidR="00F549DC" w:rsidRPr="001C0CCC">
                    <w:rPr>
                      <w:rStyle w:val="Hyperlink"/>
                      <w:rFonts w:ascii="Arial" w:hAnsi="Arial" w:cs="Arial"/>
                      <w:b/>
                      <w:sz w:val="20"/>
                      <w:szCs w:val="20"/>
                    </w:rPr>
                    <w:t>https://jurnal.akperalkautsar.ac.id/index.php/pengabdian</w:t>
                  </w:r>
                </w:hyperlink>
                <w:r w:rsidR="00F549DC" w:rsidRPr="001C0CCC">
                  <w:rPr>
                    <w:rFonts w:ascii="Arial" w:hAnsi="Arial" w:cs="Arial"/>
                    <w:b/>
                    <w:sz w:val="20"/>
                    <w:szCs w:val="20"/>
                  </w:rPr>
                  <w:t xml:space="preserve"> </w:t>
                </w:r>
              </w:p>
              <w:p w:rsidR="00F549DC" w:rsidRPr="001C0CCC" w:rsidRDefault="00F549DC" w:rsidP="0015489E">
                <w:pPr>
                  <w:rPr>
                    <w:rFonts w:ascii="Arial" w:hAnsi="Arial" w:cs="Arial"/>
                    <w:b/>
                    <w:sz w:val="20"/>
                    <w:szCs w:val="20"/>
                  </w:rPr>
                </w:pPr>
                <w:r w:rsidRPr="001C0CCC">
                  <w:rPr>
                    <w:rFonts w:ascii="Arial" w:hAnsi="Arial" w:cs="Arial"/>
                    <w:b/>
                    <w:sz w:val="20"/>
                    <w:szCs w:val="20"/>
                  </w:rPr>
                  <w:t>Vol. 1 No 1 (2025) Oktober Hal. XX-XX</w:t>
                </w:r>
              </w:p>
              <w:p w:rsidR="00F549DC" w:rsidRPr="001C0CCC" w:rsidRDefault="00F549DC" w:rsidP="0015489E">
                <w:pPr>
                  <w:rPr>
                    <w:rFonts w:ascii="Arial" w:hAnsi="Arial" w:cs="Arial"/>
                    <w:sz w:val="20"/>
                    <w:szCs w:val="20"/>
                  </w:rPr>
                </w:pPr>
                <w:r w:rsidRPr="001C0CCC">
                  <w:rPr>
                    <w:rFonts w:ascii="Arial" w:hAnsi="Arial" w:cs="Arial"/>
                    <w:sz w:val="20"/>
                    <w:szCs w:val="20"/>
                  </w:rPr>
                  <w:t xml:space="preserve">e-ISSN </w:t>
                </w:r>
                <w:r w:rsidRPr="001C0CCC">
                  <w:rPr>
                    <w:rFonts w:ascii="Arial" w:hAnsi="Arial" w:cs="Arial"/>
                    <w:color w:val="000000"/>
                    <w:sz w:val="20"/>
                    <w:szCs w:val="20"/>
                    <w:shd w:val="clear" w:color="auto" w:fill="FFFFFF"/>
                  </w:rPr>
                  <w:t>xxxxxx</w:t>
                </w:r>
              </w:p>
              <w:p w:rsidR="00F549DC" w:rsidRPr="004F3606" w:rsidRDefault="00F549DC" w:rsidP="00420C35">
                <w:pPr>
                  <w:jc w:val="right"/>
                  <w:rPr>
                    <w:rFonts w:ascii="Arial" w:hAnsi="Arial" w:cs="Arial"/>
                    <w:sz w:val="19"/>
                    <w:szCs w:val="19"/>
                  </w:rPr>
                </w:pPr>
              </w:p>
              <w:p w:rsidR="00F549DC" w:rsidRPr="00B524B4" w:rsidRDefault="00F549DC" w:rsidP="00420C35">
                <w:pPr>
                  <w:jc w:val="right"/>
                  <w:rPr>
                    <w:rFonts w:ascii="Arial" w:hAnsi="Arial" w:cs="Arial"/>
                    <w:sz w:val="19"/>
                    <w:szCs w:val="19"/>
                  </w:rPr>
                </w:pPr>
              </w:p>
              <w:p w:rsidR="00F549DC" w:rsidRPr="004F3606" w:rsidRDefault="00F549DC" w:rsidP="004211FE">
                <w:pPr>
                  <w:jc w:val="right"/>
                  <w:rPr>
                    <w:rFonts w:ascii="Arial" w:hAnsi="Arial" w:cs="Arial"/>
                    <w:sz w:val="19"/>
                    <w:szCs w:val="19"/>
                  </w:rPr>
                </w:pPr>
              </w:p>
            </w:txbxContent>
          </v:textbox>
        </v:shape>
      </w:pict>
    </w:r>
  </w:p>
  <w:p w:rsidR="00F549DC" w:rsidRDefault="00F549DC">
    <w:pPr>
      <w:pStyle w:val="Header"/>
      <w:rPr>
        <w:noProof/>
        <w:lang w:val="en-US" w:eastAsia="en-US"/>
      </w:rPr>
    </w:pPr>
  </w:p>
  <w:p w:rsidR="00F549DC" w:rsidRDefault="00F549DC">
    <w:pPr>
      <w:pStyle w:val="Header"/>
      <w:rPr>
        <w:noProof/>
        <w:lang w:val="en-US" w:eastAsia="en-US"/>
      </w:rPr>
    </w:pPr>
  </w:p>
  <w:p w:rsidR="00F549DC" w:rsidRDefault="00F549DC">
    <w:pPr>
      <w:pStyle w:val="Header"/>
      <w:rPr>
        <w:noProof/>
        <w:lang w:val="en-US" w:eastAsia="en-US"/>
      </w:rPr>
    </w:pPr>
  </w:p>
  <w:p w:rsidR="00F549DC" w:rsidRDefault="00F549D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519C"/>
    <w:multiLevelType w:val="hybridMultilevel"/>
    <w:tmpl w:val="149E31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outline w:val="0"/>
        <w:shadow w:val="0"/>
        <w:emboss w:val="0"/>
        <w:imprint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42D7164"/>
    <w:multiLevelType w:val="multilevel"/>
    <w:tmpl w:val="C27EC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D96447"/>
    <w:multiLevelType w:val="singleLevel"/>
    <w:tmpl w:val="04D96447"/>
    <w:lvl w:ilvl="0">
      <w:start w:val="1"/>
      <w:numFmt w:val="decimal"/>
      <w:lvlText w:val="%1."/>
      <w:lvlJc w:val="left"/>
      <w:pPr>
        <w:tabs>
          <w:tab w:val="left" w:pos="425"/>
        </w:tabs>
        <w:ind w:left="425" w:hanging="425"/>
      </w:pPr>
      <w:rPr>
        <w:rFonts w:hint="default"/>
      </w:rPr>
    </w:lvl>
  </w:abstractNum>
  <w:abstractNum w:abstractNumId="4" w15:restartNumberingAfterBreak="0">
    <w:nsid w:val="08461D86"/>
    <w:multiLevelType w:val="hybridMultilevel"/>
    <w:tmpl w:val="D0BE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680624"/>
    <w:multiLevelType w:val="multilevel"/>
    <w:tmpl w:val="94946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9C300E"/>
    <w:multiLevelType w:val="hybridMultilevel"/>
    <w:tmpl w:val="A28C60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286C8D"/>
    <w:multiLevelType w:val="multilevel"/>
    <w:tmpl w:val="644AE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137313"/>
    <w:multiLevelType w:val="hybridMultilevel"/>
    <w:tmpl w:val="EDDA51C6"/>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CBD3CC0"/>
    <w:multiLevelType w:val="hybridMultilevel"/>
    <w:tmpl w:val="A76668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7942BF"/>
    <w:multiLevelType w:val="multilevel"/>
    <w:tmpl w:val="ABCC64D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DC0A33"/>
    <w:multiLevelType w:val="multilevel"/>
    <w:tmpl w:val="00FAB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1264E6"/>
    <w:multiLevelType w:val="hybridMultilevel"/>
    <w:tmpl w:val="25046146"/>
    <w:lvl w:ilvl="0" w:tplc="0848EBCE">
      <w:start w:val="1"/>
      <w:numFmt w:val="upperLetter"/>
      <w:lvlText w:val="%1."/>
      <w:lvlJc w:val="left"/>
      <w:pPr>
        <w:ind w:left="360" w:hanging="360"/>
      </w:pPr>
      <w:rPr>
        <w:rFonts w:hint="default"/>
        <w:u w:color="C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4" w15:restartNumberingAfterBreak="0">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28273D7"/>
    <w:multiLevelType w:val="multilevel"/>
    <w:tmpl w:val="9C8E938C"/>
    <w:numStyleLink w:val="IEEEBullet1"/>
  </w:abstractNum>
  <w:abstractNum w:abstractNumId="16" w15:restartNumberingAfterBreak="0">
    <w:nsid w:val="33C70B75"/>
    <w:multiLevelType w:val="hybridMultilevel"/>
    <w:tmpl w:val="2C26086E"/>
    <w:lvl w:ilvl="0" w:tplc="0409000F">
      <w:start w:val="2"/>
      <w:numFmt w:val="decimal"/>
      <w:lvlText w:val="%1."/>
      <w:lvlJc w:val="left"/>
      <w:pPr>
        <w:ind w:left="360" w:hanging="360"/>
      </w:pPr>
      <w:rPr>
        <w:rFonts w:ascii="Times New Roman" w:hAnsi="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AE82645"/>
    <w:multiLevelType w:val="hybridMultilevel"/>
    <w:tmpl w:val="EDDA51C6"/>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891376A"/>
    <w:multiLevelType w:val="multilevel"/>
    <w:tmpl w:val="59209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4FB21E8B"/>
    <w:multiLevelType w:val="multilevel"/>
    <w:tmpl w:val="F4921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outline w:val="0"/>
        <w:shadow w:val="0"/>
        <w:emboss w:val="0"/>
        <w:imprint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A96007F"/>
    <w:multiLevelType w:val="hybridMultilevel"/>
    <w:tmpl w:val="E1C84F80"/>
    <w:lvl w:ilvl="0" w:tplc="547A4292">
      <w:start w:val="1"/>
      <w:numFmt w:val="decimal"/>
      <w:lvlText w:val="%1."/>
      <w:lvlJc w:val="left"/>
      <w:pPr>
        <w:ind w:left="720" w:hanging="360"/>
      </w:pPr>
      <w:rPr>
        <w:rFonts w:hint="default"/>
        <w:b w:val="0"/>
        <w:i w:val="0"/>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15:restartNumberingAfterBreak="0">
    <w:nsid w:val="64474741"/>
    <w:multiLevelType w:val="hybridMultilevel"/>
    <w:tmpl w:val="F9AC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B00AB8"/>
    <w:multiLevelType w:val="multilevel"/>
    <w:tmpl w:val="B9A0A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2A1C5E"/>
    <w:multiLevelType w:val="hybridMultilevel"/>
    <w:tmpl w:val="0BE46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27" w15:restartNumberingAfterBreak="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28" w15:restartNumberingAfterBreak="0">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9"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30" w15:restartNumberingAfterBreak="0">
    <w:nsid w:val="7C4F42C4"/>
    <w:multiLevelType w:val="multilevel"/>
    <w:tmpl w:val="39D62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D3B24E2"/>
    <w:multiLevelType w:val="multilevel"/>
    <w:tmpl w:val="347C084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26"/>
  </w:num>
  <w:num w:numId="3">
    <w:abstractNumId w:val="21"/>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1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abstractNumId w:val="1"/>
  </w:num>
  <w:num w:numId="8">
    <w:abstractNumId w:val="13"/>
  </w:num>
  <w:num w:numId="9">
    <w:abstractNumId w:val="29"/>
  </w:num>
  <w:num w:numId="10">
    <w:abstractNumId w:val="14"/>
  </w:num>
  <w:num w:numId="11">
    <w:abstractNumId w:val="17"/>
  </w:num>
  <w:num w:numId="12">
    <w:abstractNumId w:val="27"/>
    <w:lvlOverride w:ilvl="0">
      <w:startOverride w:val="1"/>
    </w:lvlOverride>
  </w:num>
  <w:num w:numId="13">
    <w:abstractNumId w:val="1"/>
  </w:num>
  <w:num w:numId="14">
    <w:abstractNumId w:val="28"/>
  </w:num>
  <w:num w:numId="15">
    <w:abstractNumId w:val="31"/>
  </w:num>
  <w:num w:numId="16">
    <w:abstractNumId w:val="22"/>
  </w:num>
  <w:num w:numId="17">
    <w:abstractNumId w:val="15"/>
    <w:lvlOverride w:ilvl="0">
      <w:lvl w:ilvl="0">
        <w:start w:val="1"/>
        <w:numFmt w:val="lowerLetter"/>
        <w:lvlText w:val="%1."/>
        <w:lvlJc w:val="left"/>
        <w:pPr>
          <w:ind w:left="644" w:hanging="360"/>
        </w:pPr>
      </w:lvl>
    </w:lvlOverride>
    <w:lvlOverride w:ilvl="1">
      <w:lvl w:ilvl="1">
        <w:start w:val="1"/>
        <w:numFmt w:val="lowerLetter"/>
        <w:lvlText w:val="%2."/>
        <w:lvlJc w:val="left"/>
        <w:pPr>
          <w:ind w:left="1364" w:hanging="360"/>
        </w:pPr>
      </w:lvl>
    </w:lvlOverride>
    <w:lvlOverride w:ilvl="2">
      <w:lvl w:ilvl="2">
        <w:start w:val="1"/>
        <w:numFmt w:val="lowerRoman"/>
        <w:lvlText w:val="%3."/>
        <w:lvlJc w:val="right"/>
        <w:pPr>
          <w:ind w:left="2084" w:hanging="180"/>
        </w:pPr>
      </w:lvl>
    </w:lvlOverride>
    <w:lvlOverride w:ilvl="3">
      <w:lvl w:ilvl="3">
        <w:start w:val="1"/>
        <w:numFmt w:val="decimal"/>
        <w:lvlText w:val="%4."/>
        <w:lvlJc w:val="left"/>
        <w:pPr>
          <w:ind w:left="360" w:hanging="360"/>
        </w:pPr>
      </w:lvl>
    </w:lvlOverride>
    <w:lvlOverride w:ilvl="4">
      <w:lvl w:ilvl="4" w:tentative="1">
        <w:start w:val="1"/>
        <w:numFmt w:val="lowerLetter"/>
        <w:lvlText w:val="%5."/>
        <w:lvlJc w:val="left"/>
        <w:pPr>
          <w:ind w:left="3524" w:hanging="360"/>
        </w:pPr>
      </w:lvl>
    </w:lvlOverride>
    <w:lvlOverride w:ilvl="5">
      <w:lvl w:ilvl="5" w:tentative="1">
        <w:start w:val="1"/>
        <w:numFmt w:val="lowerRoman"/>
        <w:lvlText w:val="%6."/>
        <w:lvlJc w:val="right"/>
        <w:pPr>
          <w:ind w:left="4244" w:hanging="180"/>
        </w:pPr>
      </w:lvl>
    </w:lvlOverride>
    <w:lvlOverride w:ilvl="6">
      <w:lvl w:ilvl="6">
        <w:start w:val="1"/>
        <w:numFmt w:val="decimal"/>
        <w:lvlText w:val="%7."/>
        <w:lvlJc w:val="left"/>
        <w:pPr>
          <w:ind w:left="644" w:hanging="360"/>
        </w:pPr>
      </w:lvl>
    </w:lvlOverride>
    <w:lvlOverride w:ilvl="7">
      <w:lvl w:ilvl="7" w:tentative="1">
        <w:start w:val="1"/>
        <w:numFmt w:val="lowerLetter"/>
        <w:lvlText w:val="%8."/>
        <w:lvlJc w:val="left"/>
        <w:pPr>
          <w:ind w:left="5684" w:hanging="360"/>
        </w:pPr>
      </w:lvl>
    </w:lvlOverride>
    <w:lvlOverride w:ilvl="8">
      <w:lvl w:ilvl="8" w:tentative="1">
        <w:start w:val="1"/>
        <w:numFmt w:val="lowerRoman"/>
        <w:lvlText w:val="%9."/>
        <w:lvlJc w:val="right"/>
        <w:pPr>
          <w:ind w:left="6404" w:hanging="180"/>
        </w:pPr>
      </w:lvl>
    </w:lvlOverride>
  </w:num>
  <w:num w:numId="18">
    <w:abstractNumId w:val="4"/>
  </w:num>
  <w:num w:numId="19">
    <w:abstractNumId w:val="16"/>
  </w:num>
  <w:num w:numId="20">
    <w:abstractNumId w:val="24"/>
  </w:num>
  <w:num w:numId="21">
    <w:abstractNumId w:val="9"/>
  </w:num>
  <w:num w:numId="22">
    <w:abstractNumId w:val="23"/>
  </w:num>
  <w:num w:numId="23">
    <w:abstractNumId w:val="3"/>
  </w:num>
  <w:num w:numId="24">
    <w:abstractNumId w:val="12"/>
  </w:num>
  <w:num w:numId="25">
    <w:abstractNumId w:val="6"/>
  </w:num>
  <w:num w:numId="26">
    <w:abstractNumId w:val="11"/>
  </w:num>
  <w:num w:numId="27">
    <w:abstractNumId w:val="18"/>
  </w:num>
  <w:num w:numId="28">
    <w:abstractNumId w:val="7"/>
  </w:num>
  <w:num w:numId="29">
    <w:abstractNumId w:val="20"/>
  </w:num>
  <w:num w:numId="30">
    <w:abstractNumId w:val="10"/>
  </w:num>
  <w:num w:numId="31">
    <w:abstractNumId w:val="5"/>
  </w:num>
  <w:num w:numId="32">
    <w:abstractNumId w:val="0"/>
  </w:num>
  <w:num w:numId="33">
    <w:abstractNumId w:val="8"/>
  </w:num>
  <w:num w:numId="34">
    <w:abstractNumId w:val="32"/>
  </w:num>
  <w:num w:numId="35">
    <w:abstractNumId w:val="30"/>
  </w:num>
  <w:num w:numId="36">
    <w:abstractNumId w:val="2"/>
  </w:num>
  <w:num w:numId="37">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AU" w:vendorID="64" w:dllVersion="131078" w:nlCheck="1" w:checkStyle="0"/>
  <w:activeWritingStyle w:appName="MSWord" w:lang="en-GB" w:vendorID="64" w:dllVersion="131078" w:nlCheck="1" w:checkStyle="1"/>
  <w:activeWritingStyle w:appName="MSWord" w:lang="en-US" w:vendorID="64" w:dllVersion="131078" w:nlCheck="1" w:checkStyle="0"/>
  <w:activeWritingStyle w:appName="MSWord" w:lang="es-E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4" fillcolor="white">
      <v:fill color="white"/>
    </o:shapedefaults>
    <o:shapelayout v:ext="edit">
      <o:idmap v:ext="edit" data="2"/>
    </o:shapelayout>
  </w:hdrShapeDefaults>
  <w:footnotePr>
    <w:footnote w:id="-1"/>
    <w:footnote w:id="0"/>
  </w:footnotePr>
  <w:endnotePr>
    <w:endnote w:id="-1"/>
    <w:endnote w:id="0"/>
  </w:endnotePr>
  <w:compat>
    <w:applyBreakingRules/>
    <w:useFELayout/>
    <w:compatSetting w:name="compatibilityMode" w:uri="http://schemas.microsoft.com/office/word" w:val="12"/>
  </w:compat>
  <w:rsids>
    <w:rsidRoot w:val="00426FBB"/>
    <w:rsid w:val="000002E1"/>
    <w:rsid w:val="0000069A"/>
    <w:rsid w:val="00002AE5"/>
    <w:rsid w:val="00005CE1"/>
    <w:rsid w:val="000069C7"/>
    <w:rsid w:val="000079B2"/>
    <w:rsid w:val="0001373A"/>
    <w:rsid w:val="00017719"/>
    <w:rsid w:val="00020A6F"/>
    <w:rsid w:val="000215DC"/>
    <w:rsid w:val="000219FF"/>
    <w:rsid w:val="000227C5"/>
    <w:rsid w:val="00027F1D"/>
    <w:rsid w:val="0003296C"/>
    <w:rsid w:val="00036359"/>
    <w:rsid w:val="00036DAC"/>
    <w:rsid w:val="00053481"/>
    <w:rsid w:val="00054421"/>
    <w:rsid w:val="00056CE7"/>
    <w:rsid w:val="00062E46"/>
    <w:rsid w:val="00064FD8"/>
    <w:rsid w:val="00066CB7"/>
    <w:rsid w:val="0006703C"/>
    <w:rsid w:val="000734C1"/>
    <w:rsid w:val="00074AC8"/>
    <w:rsid w:val="00081408"/>
    <w:rsid w:val="00081EBE"/>
    <w:rsid w:val="00082A45"/>
    <w:rsid w:val="0008577D"/>
    <w:rsid w:val="00086EDC"/>
    <w:rsid w:val="00093581"/>
    <w:rsid w:val="00093CF7"/>
    <w:rsid w:val="000A6695"/>
    <w:rsid w:val="000B1D8E"/>
    <w:rsid w:val="000B3567"/>
    <w:rsid w:val="000B36A3"/>
    <w:rsid w:val="000B4A2C"/>
    <w:rsid w:val="000C013C"/>
    <w:rsid w:val="000D4841"/>
    <w:rsid w:val="000D4E9F"/>
    <w:rsid w:val="000D67E4"/>
    <w:rsid w:val="000E3F84"/>
    <w:rsid w:val="000E4F95"/>
    <w:rsid w:val="000E5E3D"/>
    <w:rsid w:val="000F3034"/>
    <w:rsid w:val="00103C8B"/>
    <w:rsid w:val="00103E04"/>
    <w:rsid w:val="00104C9F"/>
    <w:rsid w:val="001056DF"/>
    <w:rsid w:val="00106F78"/>
    <w:rsid w:val="00114025"/>
    <w:rsid w:val="00115691"/>
    <w:rsid w:val="001160D2"/>
    <w:rsid w:val="001218D3"/>
    <w:rsid w:val="00122F7A"/>
    <w:rsid w:val="00131344"/>
    <w:rsid w:val="001348A5"/>
    <w:rsid w:val="0013730E"/>
    <w:rsid w:val="00140C4C"/>
    <w:rsid w:val="00140FB9"/>
    <w:rsid w:val="00146992"/>
    <w:rsid w:val="0015135B"/>
    <w:rsid w:val="00151B8E"/>
    <w:rsid w:val="0015489E"/>
    <w:rsid w:val="001747C8"/>
    <w:rsid w:val="00177ADC"/>
    <w:rsid w:val="00182CE2"/>
    <w:rsid w:val="00184341"/>
    <w:rsid w:val="00184864"/>
    <w:rsid w:val="001928FB"/>
    <w:rsid w:val="00192BC7"/>
    <w:rsid w:val="001A0AE9"/>
    <w:rsid w:val="001A1D29"/>
    <w:rsid w:val="001A50EA"/>
    <w:rsid w:val="001A6E68"/>
    <w:rsid w:val="001A75F1"/>
    <w:rsid w:val="001B52EF"/>
    <w:rsid w:val="001B5743"/>
    <w:rsid w:val="001C0608"/>
    <w:rsid w:val="001C0CCC"/>
    <w:rsid w:val="001C1A51"/>
    <w:rsid w:val="001C2EAE"/>
    <w:rsid w:val="001D04EB"/>
    <w:rsid w:val="001D180C"/>
    <w:rsid w:val="001D34BD"/>
    <w:rsid w:val="001E147C"/>
    <w:rsid w:val="001E1A22"/>
    <w:rsid w:val="001F16CD"/>
    <w:rsid w:val="001F47D2"/>
    <w:rsid w:val="00201427"/>
    <w:rsid w:val="00202141"/>
    <w:rsid w:val="00206BE4"/>
    <w:rsid w:val="002202B7"/>
    <w:rsid w:val="0022285A"/>
    <w:rsid w:val="00224C61"/>
    <w:rsid w:val="00226AB3"/>
    <w:rsid w:val="00230E61"/>
    <w:rsid w:val="00254E89"/>
    <w:rsid w:val="0025798B"/>
    <w:rsid w:val="0026094F"/>
    <w:rsid w:val="00271242"/>
    <w:rsid w:val="0027227B"/>
    <w:rsid w:val="0027288E"/>
    <w:rsid w:val="00273AC7"/>
    <w:rsid w:val="00273D2C"/>
    <w:rsid w:val="0027441B"/>
    <w:rsid w:val="00275BFA"/>
    <w:rsid w:val="002761B9"/>
    <w:rsid w:val="00285ECD"/>
    <w:rsid w:val="0028667D"/>
    <w:rsid w:val="00290E1B"/>
    <w:rsid w:val="00291B17"/>
    <w:rsid w:val="00292EFC"/>
    <w:rsid w:val="00295405"/>
    <w:rsid w:val="002A2FD6"/>
    <w:rsid w:val="002A6742"/>
    <w:rsid w:val="002B09BC"/>
    <w:rsid w:val="002C1A7F"/>
    <w:rsid w:val="002C270E"/>
    <w:rsid w:val="002C4239"/>
    <w:rsid w:val="002C559D"/>
    <w:rsid w:val="002C6430"/>
    <w:rsid w:val="002C67F8"/>
    <w:rsid w:val="002D2CB8"/>
    <w:rsid w:val="002D2D42"/>
    <w:rsid w:val="002D3DAA"/>
    <w:rsid w:val="002D570B"/>
    <w:rsid w:val="002D68C9"/>
    <w:rsid w:val="002F15EA"/>
    <w:rsid w:val="002F435F"/>
    <w:rsid w:val="002F72D0"/>
    <w:rsid w:val="003003AB"/>
    <w:rsid w:val="00303687"/>
    <w:rsid w:val="00303AFA"/>
    <w:rsid w:val="00311C49"/>
    <w:rsid w:val="0031279E"/>
    <w:rsid w:val="003143C6"/>
    <w:rsid w:val="0032119E"/>
    <w:rsid w:val="00321304"/>
    <w:rsid w:val="003303CD"/>
    <w:rsid w:val="00331F84"/>
    <w:rsid w:val="00332EE1"/>
    <w:rsid w:val="003343DF"/>
    <w:rsid w:val="003366F9"/>
    <w:rsid w:val="0034555E"/>
    <w:rsid w:val="00353F69"/>
    <w:rsid w:val="00355B72"/>
    <w:rsid w:val="00360589"/>
    <w:rsid w:val="00360C6A"/>
    <w:rsid w:val="00360D09"/>
    <w:rsid w:val="00362232"/>
    <w:rsid w:val="00366B29"/>
    <w:rsid w:val="003717D0"/>
    <w:rsid w:val="00377715"/>
    <w:rsid w:val="0038106C"/>
    <w:rsid w:val="00382506"/>
    <w:rsid w:val="00382E62"/>
    <w:rsid w:val="003837D6"/>
    <w:rsid w:val="00394DC4"/>
    <w:rsid w:val="003950A4"/>
    <w:rsid w:val="0039684C"/>
    <w:rsid w:val="003B0D77"/>
    <w:rsid w:val="003B58CA"/>
    <w:rsid w:val="003C3E37"/>
    <w:rsid w:val="003C7209"/>
    <w:rsid w:val="003D138F"/>
    <w:rsid w:val="003D3E2E"/>
    <w:rsid w:val="003D4C64"/>
    <w:rsid w:val="003E3577"/>
    <w:rsid w:val="003F3A61"/>
    <w:rsid w:val="00400DC7"/>
    <w:rsid w:val="00402758"/>
    <w:rsid w:val="00403498"/>
    <w:rsid w:val="00410A5D"/>
    <w:rsid w:val="00414909"/>
    <w:rsid w:val="004202C3"/>
    <w:rsid w:val="00420C35"/>
    <w:rsid w:val="004211FE"/>
    <w:rsid w:val="004216B1"/>
    <w:rsid w:val="00425A6A"/>
    <w:rsid w:val="00426FBB"/>
    <w:rsid w:val="004337B8"/>
    <w:rsid w:val="00437E30"/>
    <w:rsid w:val="00437E48"/>
    <w:rsid w:val="0044016E"/>
    <w:rsid w:val="0044773F"/>
    <w:rsid w:val="00451D21"/>
    <w:rsid w:val="0046428B"/>
    <w:rsid w:val="00471085"/>
    <w:rsid w:val="0047429A"/>
    <w:rsid w:val="004772BF"/>
    <w:rsid w:val="004778A8"/>
    <w:rsid w:val="0048374C"/>
    <w:rsid w:val="0048707A"/>
    <w:rsid w:val="0048771D"/>
    <w:rsid w:val="00493202"/>
    <w:rsid w:val="00496088"/>
    <w:rsid w:val="004A1511"/>
    <w:rsid w:val="004A6605"/>
    <w:rsid w:val="004B0DB7"/>
    <w:rsid w:val="004B519F"/>
    <w:rsid w:val="004B5BFE"/>
    <w:rsid w:val="004B6C46"/>
    <w:rsid w:val="004B7F34"/>
    <w:rsid w:val="004C4227"/>
    <w:rsid w:val="004C45FA"/>
    <w:rsid w:val="004C4D2E"/>
    <w:rsid w:val="004D3530"/>
    <w:rsid w:val="004D395E"/>
    <w:rsid w:val="004D7355"/>
    <w:rsid w:val="004E1BD8"/>
    <w:rsid w:val="004E452A"/>
    <w:rsid w:val="004E78E3"/>
    <w:rsid w:val="004F3606"/>
    <w:rsid w:val="005004BF"/>
    <w:rsid w:val="00502E89"/>
    <w:rsid w:val="00504748"/>
    <w:rsid w:val="00505FE2"/>
    <w:rsid w:val="0051095A"/>
    <w:rsid w:val="00510E95"/>
    <w:rsid w:val="00512264"/>
    <w:rsid w:val="0051451F"/>
    <w:rsid w:val="00515557"/>
    <w:rsid w:val="00521ED0"/>
    <w:rsid w:val="00522D23"/>
    <w:rsid w:val="00524694"/>
    <w:rsid w:val="00525BDE"/>
    <w:rsid w:val="00527D56"/>
    <w:rsid w:val="0053012F"/>
    <w:rsid w:val="00530A0F"/>
    <w:rsid w:val="00531864"/>
    <w:rsid w:val="0053221F"/>
    <w:rsid w:val="00536FAE"/>
    <w:rsid w:val="0054252A"/>
    <w:rsid w:val="00542C85"/>
    <w:rsid w:val="00553510"/>
    <w:rsid w:val="00554186"/>
    <w:rsid w:val="00556E5B"/>
    <w:rsid w:val="0055703E"/>
    <w:rsid w:val="005628CD"/>
    <w:rsid w:val="00564397"/>
    <w:rsid w:val="0056697B"/>
    <w:rsid w:val="005753AE"/>
    <w:rsid w:val="005818EA"/>
    <w:rsid w:val="00581DAA"/>
    <w:rsid w:val="00585769"/>
    <w:rsid w:val="00591130"/>
    <w:rsid w:val="00591DB6"/>
    <w:rsid w:val="005A3F28"/>
    <w:rsid w:val="005A40BE"/>
    <w:rsid w:val="005A7F4E"/>
    <w:rsid w:val="005B0435"/>
    <w:rsid w:val="005B13E2"/>
    <w:rsid w:val="005B3934"/>
    <w:rsid w:val="005B47D7"/>
    <w:rsid w:val="005C3460"/>
    <w:rsid w:val="005C4BA9"/>
    <w:rsid w:val="005C5526"/>
    <w:rsid w:val="005C62C6"/>
    <w:rsid w:val="005D21E9"/>
    <w:rsid w:val="005D2C3E"/>
    <w:rsid w:val="005D79BF"/>
    <w:rsid w:val="005D7B9E"/>
    <w:rsid w:val="005F070A"/>
    <w:rsid w:val="005F0834"/>
    <w:rsid w:val="005F2877"/>
    <w:rsid w:val="005F45B1"/>
    <w:rsid w:val="005F6061"/>
    <w:rsid w:val="005F6788"/>
    <w:rsid w:val="005F6DC3"/>
    <w:rsid w:val="006017FD"/>
    <w:rsid w:val="00601A8E"/>
    <w:rsid w:val="00602488"/>
    <w:rsid w:val="006079BE"/>
    <w:rsid w:val="00613D89"/>
    <w:rsid w:val="00615B46"/>
    <w:rsid w:val="0061663A"/>
    <w:rsid w:val="0062033E"/>
    <w:rsid w:val="00624482"/>
    <w:rsid w:val="00627D1F"/>
    <w:rsid w:val="00633178"/>
    <w:rsid w:val="006343E3"/>
    <w:rsid w:val="0064109E"/>
    <w:rsid w:val="00643796"/>
    <w:rsid w:val="0064799C"/>
    <w:rsid w:val="00652E37"/>
    <w:rsid w:val="00654156"/>
    <w:rsid w:val="00662376"/>
    <w:rsid w:val="0067524B"/>
    <w:rsid w:val="00675523"/>
    <w:rsid w:val="00692CD2"/>
    <w:rsid w:val="00694D34"/>
    <w:rsid w:val="00694FAF"/>
    <w:rsid w:val="00695864"/>
    <w:rsid w:val="006977E6"/>
    <w:rsid w:val="006A31A9"/>
    <w:rsid w:val="006A3AE1"/>
    <w:rsid w:val="006A4145"/>
    <w:rsid w:val="006A5046"/>
    <w:rsid w:val="006B09B8"/>
    <w:rsid w:val="006B47CA"/>
    <w:rsid w:val="006B5506"/>
    <w:rsid w:val="006C4368"/>
    <w:rsid w:val="006C7AAA"/>
    <w:rsid w:val="006D1C2A"/>
    <w:rsid w:val="006D264F"/>
    <w:rsid w:val="006D3F45"/>
    <w:rsid w:val="006E2A8D"/>
    <w:rsid w:val="006E35C8"/>
    <w:rsid w:val="006E4AB3"/>
    <w:rsid w:val="006E6B57"/>
    <w:rsid w:val="006E7574"/>
    <w:rsid w:val="006F4323"/>
    <w:rsid w:val="00701D28"/>
    <w:rsid w:val="00703430"/>
    <w:rsid w:val="007069BE"/>
    <w:rsid w:val="00711BD2"/>
    <w:rsid w:val="00711FEB"/>
    <w:rsid w:val="00713860"/>
    <w:rsid w:val="00717C1C"/>
    <w:rsid w:val="00721E2E"/>
    <w:rsid w:val="007227F5"/>
    <w:rsid w:val="007250A7"/>
    <w:rsid w:val="0072566E"/>
    <w:rsid w:val="00733156"/>
    <w:rsid w:val="00733E74"/>
    <w:rsid w:val="0074085C"/>
    <w:rsid w:val="00745C86"/>
    <w:rsid w:val="00764603"/>
    <w:rsid w:val="0076604D"/>
    <w:rsid w:val="00770243"/>
    <w:rsid w:val="00772C88"/>
    <w:rsid w:val="00781DBA"/>
    <w:rsid w:val="0078621C"/>
    <w:rsid w:val="00790909"/>
    <w:rsid w:val="0079301B"/>
    <w:rsid w:val="007A3BFC"/>
    <w:rsid w:val="007A68BB"/>
    <w:rsid w:val="007A77C6"/>
    <w:rsid w:val="007B5A07"/>
    <w:rsid w:val="007B668E"/>
    <w:rsid w:val="007C7D51"/>
    <w:rsid w:val="007D2F33"/>
    <w:rsid w:val="007D3E71"/>
    <w:rsid w:val="007E007F"/>
    <w:rsid w:val="007E132A"/>
    <w:rsid w:val="007E34AA"/>
    <w:rsid w:val="007E5D6A"/>
    <w:rsid w:val="007E645D"/>
    <w:rsid w:val="007F7260"/>
    <w:rsid w:val="007F75CA"/>
    <w:rsid w:val="00805F1D"/>
    <w:rsid w:val="00815DBA"/>
    <w:rsid w:val="00816EA9"/>
    <w:rsid w:val="00820A91"/>
    <w:rsid w:val="00821E08"/>
    <w:rsid w:val="008229DF"/>
    <w:rsid w:val="00822D86"/>
    <w:rsid w:val="008247D1"/>
    <w:rsid w:val="00825A13"/>
    <w:rsid w:val="008266B1"/>
    <w:rsid w:val="00832C46"/>
    <w:rsid w:val="00834154"/>
    <w:rsid w:val="008346CF"/>
    <w:rsid w:val="00834EFD"/>
    <w:rsid w:val="00834F65"/>
    <w:rsid w:val="00841914"/>
    <w:rsid w:val="00842B65"/>
    <w:rsid w:val="00844B24"/>
    <w:rsid w:val="0084515F"/>
    <w:rsid w:val="0085092D"/>
    <w:rsid w:val="00865FB3"/>
    <w:rsid w:val="00867D6B"/>
    <w:rsid w:val="00873013"/>
    <w:rsid w:val="008746C3"/>
    <w:rsid w:val="008757E0"/>
    <w:rsid w:val="00877D4C"/>
    <w:rsid w:val="00895D64"/>
    <w:rsid w:val="0089763B"/>
    <w:rsid w:val="008A0B0A"/>
    <w:rsid w:val="008A1519"/>
    <w:rsid w:val="008A2479"/>
    <w:rsid w:val="008B114A"/>
    <w:rsid w:val="008B6295"/>
    <w:rsid w:val="008B6AE3"/>
    <w:rsid w:val="008D1045"/>
    <w:rsid w:val="008D3937"/>
    <w:rsid w:val="008D4BA8"/>
    <w:rsid w:val="008E2316"/>
    <w:rsid w:val="008E5277"/>
    <w:rsid w:val="008E5996"/>
    <w:rsid w:val="008F1272"/>
    <w:rsid w:val="008F3ADD"/>
    <w:rsid w:val="008F43D7"/>
    <w:rsid w:val="00901AE1"/>
    <w:rsid w:val="00901EFD"/>
    <w:rsid w:val="00904754"/>
    <w:rsid w:val="00905356"/>
    <w:rsid w:val="00905E92"/>
    <w:rsid w:val="009151A5"/>
    <w:rsid w:val="009154DC"/>
    <w:rsid w:val="009205B4"/>
    <w:rsid w:val="009223D5"/>
    <w:rsid w:val="00922A80"/>
    <w:rsid w:val="00932F60"/>
    <w:rsid w:val="00937F31"/>
    <w:rsid w:val="009408BA"/>
    <w:rsid w:val="00946DC6"/>
    <w:rsid w:val="009507C0"/>
    <w:rsid w:val="009537A7"/>
    <w:rsid w:val="009550E8"/>
    <w:rsid w:val="00955B59"/>
    <w:rsid w:val="009570BE"/>
    <w:rsid w:val="009607CC"/>
    <w:rsid w:val="009671E5"/>
    <w:rsid w:val="00971BB3"/>
    <w:rsid w:val="00971EBF"/>
    <w:rsid w:val="00975FD7"/>
    <w:rsid w:val="00985DB4"/>
    <w:rsid w:val="00986648"/>
    <w:rsid w:val="00991EED"/>
    <w:rsid w:val="00992262"/>
    <w:rsid w:val="009926BC"/>
    <w:rsid w:val="00993DEB"/>
    <w:rsid w:val="00997F50"/>
    <w:rsid w:val="009A09C7"/>
    <w:rsid w:val="009A4319"/>
    <w:rsid w:val="009A6C3F"/>
    <w:rsid w:val="009A6E9C"/>
    <w:rsid w:val="009B73F2"/>
    <w:rsid w:val="009C12BD"/>
    <w:rsid w:val="009C367A"/>
    <w:rsid w:val="009C50FE"/>
    <w:rsid w:val="009D2660"/>
    <w:rsid w:val="009D34EA"/>
    <w:rsid w:val="009D3C51"/>
    <w:rsid w:val="009D435A"/>
    <w:rsid w:val="009E2A57"/>
    <w:rsid w:val="00A03A12"/>
    <w:rsid w:val="00A03E75"/>
    <w:rsid w:val="00A04DC8"/>
    <w:rsid w:val="00A11080"/>
    <w:rsid w:val="00A1414F"/>
    <w:rsid w:val="00A20D66"/>
    <w:rsid w:val="00A22FE0"/>
    <w:rsid w:val="00A32A74"/>
    <w:rsid w:val="00A37654"/>
    <w:rsid w:val="00A4337B"/>
    <w:rsid w:val="00A45FCE"/>
    <w:rsid w:val="00A64A36"/>
    <w:rsid w:val="00A7266B"/>
    <w:rsid w:val="00A75671"/>
    <w:rsid w:val="00A773CC"/>
    <w:rsid w:val="00A86C59"/>
    <w:rsid w:val="00A87305"/>
    <w:rsid w:val="00A9318B"/>
    <w:rsid w:val="00A94AC1"/>
    <w:rsid w:val="00A95B87"/>
    <w:rsid w:val="00A9735F"/>
    <w:rsid w:val="00AA5A8D"/>
    <w:rsid w:val="00AA6F12"/>
    <w:rsid w:val="00AB122E"/>
    <w:rsid w:val="00AB1806"/>
    <w:rsid w:val="00AB18B7"/>
    <w:rsid w:val="00AB2575"/>
    <w:rsid w:val="00AC157F"/>
    <w:rsid w:val="00AC1F9C"/>
    <w:rsid w:val="00AD2BAB"/>
    <w:rsid w:val="00AD335D"/>
    <w:rsid w:val="00AE1477"/>
    <w:rsid w:val="00AE406C"/>
    <w:rsid w:val="00AF3482"/>
    <w:rsid w:val="00AF792B"/>
    <w:rsid w:val="00B00190"/>
    <w:rsid w:val="00B1090E"/>
    <w:rsid w:val="00B10F2B"/>
    <w:rsid w:val="00B333DE"/>
    <w:rsid w:val="00B3521D"/>
    <w:rsid w:val="00B45E81"/>
    <w:rsid w:val="00B47460"/>
    <w:rsid w:val="00B55D5E"/>
    <w:rsid w:val="00B56B16"/>
    <w:rsid w:val="00B717BA"/>
    <w:rsid w:val="00B735B0"/>
    <w:rsid w:val="00B81E91"/>
    <w:rsid w:val="00B827FE"/>
    <w:rsid w:val="00B91814"/>
    <w:rsid w:val="00B9238B"/>
    <w:rsid w:val="00B92B81"/>
    <w:rsid w:val="00B94516"/>
    <w:rsid w:val="00B96636"/>
    <w:rsid w:val="00BA1449"/>
    <w:rsid w:val="00BA183C"/>
    <w:rsid w:val="00BA665D"/>
    <w:rsid w:val="00BA7955"/>
    <w:rsid w:val="00BB13C6"/>
    <w:rsid w:val="00BB2855"/>
    <w:rsid w:val="00BB3407"/>
    <w:rsid w:val="00BB64E7"/>
    <w:rsid w:val="00BC57FF"/>
    <w:rsid w:val="00BC6B25"/>
    <w:rsid w:val="00BC6EFA"/>
    <w:rsid w:val="00BC7909"/>
    <w:rsid w:val="00BD19C1"/>
    <w:rsid w:val="00BD25B8"/>
    <w:rsid w:val="00BD34C2"/>
    <w:rsid w:val="00BE31AF"/>
    <w:rsid w:val="00BE340C"/>
    <w:rsid w:val="00BE5D11"/>
    <w:rsid w:val="00BF097D"/>
    <w:rsid w:val="00BF1228"/>
    <w:rsid w:val="00BF4618"/>
    <w:rsid w:val="00BF5282"/>
    <w:rsid w:val="00C0011E"/>
    <w:rsid w:val="00C012E1"/>
    <w:rsid w:val="00C029BD"/>
    <w:rsid w:val="00C06BB4"/>
    <w:rsid w:val="00C10D20"/>
    <w:rsid w:val="00C12AC4"/>
    <w:rsid w:val="00C12E0C"/>
    <w:rsid w:val="00C14968"/>
    <w:rsid w:val="00C14F98"/>
    <w:rsid w:val="00C21916"/>
    <w:rsid w:val="00C23536"/>
    <w:rsid w:val="00C2650B"/>
    <w:rsid w:val="00C32E48"/>
    <w:rsid w:val="00C439E8"/>
    <w:rsid w:val="00C457CA"/>
    <w:rsid w:val="00C500EF"/>
    <w:rsid w:val="00C51EB1"/>
    <w:rsid w:val="00C52304"/>
    <w:rsid w:val="00C57FB7"/>
    <w:rsid w:val="00C62CEB"/>
    <w:rsid w:val="00C65F3F"/>
    <w:rsid w:val="00C70749"/>
    <w:rsid w:val="00C72414"/>
    <w:rsid w:val="00C76B84"/>
    <w:rsid w:val="00C8271C"/>
    <w:rsid w:val="00C8667B"/>
    <w:rsid w:val="00C86750"/>
    <w:rsid w:val="00C9029B"/>
    <w:rsid w:val="00C91EF5"/>
    <w:rsid w:val="00C9234E"/>
    <w:rsid w:val="00C924E6"/>
    <w:rsid w:val="00C93BB2"/>
    <w:rsid w:val="00C9683E"/>
    <w:rsid w:val="00CA0F6D"/>
    <w:rsid w:val="00CA2A24"/>
    <w:rsid w:val="00CA49E9"/>
    <w:rsid w:val="00CA4CE3"/>
    <w:rsid w:val="00CB1354"/>
    <w:rsid w:val="00CB60BA"/>
    <w:rsid w:val="00CB65CB"/>
    <w:rsid w:val="00CC6272"/>
    <w:rsid w:val="00CC75C0"/>
    <w:rsid w:val="00CD23EF"/>
    <w:rsid w:val="00CD4F3F"/>
    <w:rsid w:val="00CD51D4"/>
    <w:rsid w:val="00CE34BC"/>
    <w:rsid w:val="00CE562B"/>
    <w:rsid w:val="00CE6CCD"/>
    <w:rsid w:val="00CF75F6"/>
    <w:rsid w:val="00D05BEA"/>
    <w:rsid w:val="00D150AD"/>
    <w:rsid w:val="00D17D7F"/>
    <w:rsid w:val="00D17DDC"/>
    <w:rsid w:val="00D2480A"/>
    <w:rsid w:val="00D30F2D"/>
    <w:rsid w:val="00D311F8"/>
    <w:rsid w:val="00D36B52"/>
    <w:rsid w:val="00D3708C"/>
    <w:rsid w:val="00D377C8"/>
    <w:rsid w:val="00D37FE2"/>
    <w:rsid w:val="00D41274"/>
    <w:rsid w:val="00D43BF3"/>
    <w:rsid w:val="00D5746B"/>
    <w:rsid w:val="00D60CD8"/>
    <w:rsid w:val="00D677E9"/>
    <w:rsid w:val="00D767BB"/>
    <w:rsid w:val="00D8752A"/>
    <w:rsid w:val="00D92681"/>
    <w:rsid w:val="00D939B0"/>
    <w:rsid w:val="00D958E2"/>
    <w:rsid w:val="00DB16E0"/>
    <w:rsid w:val="00DB2DF9"/>
    <w:rsid w:val="00DB383B"/>
    <w:rsid w:val="00DB7E63"/>
    <w:rsid w:val="00DC2055"/>
    <w:rsid w:val="00DC6F3B"/>
    <w:rsid w:val="00DD16DC"/>
    <w:rsid w:val="00DD71E8"/>
    <w:rsid w:val="00DD7F83"/>
    <w:rsid w:val="00DE335E"/>
    <w:rsid w:val="00DE3661"/>
    <w:rsid w:val="00DF1B93"/>
    <w:rsid w:val="00DF565C"/>
    <w:rsid w:val="00DF68F5"/>
    <w:rsid w:val="00DF6A46"/>
    <w:rsid w:val="00DF7CA2"/>
    <w:rsid w:val="00E01DF5"/>
    <w:rsid w:val="00E0641E"/>
    <w:rsid w:val="00E06664"/>
    <w:rsid w:val="00E11080"/>
    <w:rsid w:val="00E143CB"/>
    <w:rsid w:val="00E17AA8"/>
    <w:rsid w:val="00E20C19"/>
    <w:rsid w:val="00E304BC"/>
    <w:rsid w:val="00E32853"/>
    <w:rsid w:val="00E33A00"/>
    <w:rsid w:val="00E379EC"/>
    <w:rsid w:val="00E401F8"/>
    <w:rsid w:val="00E41262"/>
    <w:rsid w:val="00E42932"/>
    <w:rsid w:val="00E43EEC"/>
    <w:rsid w:val="00E4498A"/>
    <w:rsid w:val="00E44C34"/>
    <w:rsid w:val="00E46425"/>
    <w:rsid w:val="00E47D0E"/>
    <w:rsid w:val="00E500CA"/>
    <w:rsid w:val="00E512D9"/>
    <w:rsid w:val="00E6457D"/>
    <w:rsid w:val="00E65018"/>
    <w:rsid w:val="00E65A35"/>
    <w:rsid w:val="00E678CD"/>
    <w:rsid w:val="00E70EE3"/>
    <w:rsid w:val="00E72D69"/>
    <w:rsid w:val="00E7529B"/>
    <w:rsid w:val="00E82B49"/>
    <w:rsid w:val="00E836FF"/>
    <w:rsid w:val="00E94339"/>
    <w:rsid w:val="00E97563"/>
    <w:rsid w:val="00EA0DE4"/>
    <w:rsid w:val="00EB0B63"/>
    <w:rsid w:val="00EB2163"/>
    <w:rsid w:val="00EC1C35"/>
    <w:rsid w:val="00EC2378"/>
    <w:rsid w:val="00EC265C"/>
    <w:rsid w:val="00EC3F6C"/>
    <w:rsid w:val="00EC65B7"/>
    <w:rsid w:val="00ED25B0"/>
    <w:rsid w:val="00ED61CB"/>
    <w:rsid w:val="00EE4353"/>
    <w:rsid w:val="00EF2488"/>
    <w:rsid w:val="00EF290B"/>
    <w:rsid w:val="00EF3452"/>
    <w:rsid w:val="00EF57E7"/>
    <w:rsid w:val="00EF61AD"/>
    <w:rsid w:val="00F062D8"/>
    <w:rsid w:val="00F06A72"/>
    <w:rsid w:val="00F06C6A"/>
    <w:rsid w:val="00F11217"/>
    <w:rsid w:val="00F1242E"/>
    <w:rsid w:val="00F136F0"/>
    <w:rsid w:val="00F20BBB"/>
    <w:rsid w:val="00F20DCD"/>
    <w:rsid w:val="00F21B1A"/>
    <w:rsid w:val="00F22C0B"/>
    <w:rsid w:val="00F34AE2"/>
    <w:rsid w:val="00F359FA"/>
    <w:rsid w:val="00F4394A"/>
    <w:rsid w:val="00F43BD8"/>
    <w:rsid w:val="00F549DC"/>
    <w:rsid w:val="00F55879"/>
    <w:rsid w:val="00F562F3"/>
    <w:rsid w:val="00F57140"/>
    <w:rsid w:val="00F66CC2"/>
    <w:rsid w:val="00F67BC3"/>
    <w:rsid w:val="00F73EC9"/>
    <w:rsid w:val="00F74B89"/>
    <w:rsid w:val="00F75133"/>
    <w:rsid w:val="00F80742"/>
    <w:rsid w:val="00F82858"/>
    <w:rsid w:val="00F85074"/>
    <w:rsid w:val="00F870D3"/>
    <w:rsid w:val="00F9045E"/>
    <w:rsid w:val="00F93767"/>
    <w:rsid w:val="00FA3899"/>
    <w:rsid w:val="00FA4909"/>
    <w:rsid w:val="00FA4CF1"/>
    <w:rsid w:val="00FA5A26"/>
    <w:rsid w:val="00FA6751"/>
    <w:rsid w:val="00FA7575"/>
    <w:rsid w:val="00FB1048"/>
    <w:rsid w:val="00FB3938"/>
    <w:rsid w:val="00FB62C4"/>
    <w:rsid w:val="00FB7701"/>
    <w:rsid w:val="00FC2DF1"/>
    <w:rsid w:val="00FD0B66"/>
    <w:rsid w:val="00FD15E7"/>
    <w:rsid w:val="00FD1AC5"/>
    <w:rsid w:val="00FD507C"/>
    <w:rsid w:val="00FD549E"/>
    <w:rsid w:val="00FD5CF0"/>
    <w:rsid w:val="00FE0146"/>
    <w:rsid w:val="00FE55CE"/>
    <w:rsid w:val="00FF18BA"/>
    <w:rsid w:val="00FF3238"/>
    <w:rsid w:val="00FF40DD"/>
    <w:rsid w:val="00FF419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shapedefaults>
    <o:shapelayout v:ext="edit">
      <o:idmap v:ext="edit" data="1"/>
    </o:shapelayout>
  </w:shapeDefaults>
  <w:decimalSymbol w:val="."/>
  <w:listSeparator w:val=","/>
  <w14:docId w14:val="40AD9735"/>
  <w15:docId w15:val="{98D77D98-FA86-4BD3-B852-D9A4AC44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5743"/>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uiPriority w:val="39"/>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paragraph" w:styleId="NormalWeb">
    <w:name w:val="Normal (Web)"/>
    <w:basedOn w:val="Normal"/>
    <w:uiPriority w:val="99"/>
    <w:semiHidden/>
    <w:unhideWhenUsed/>
    <w:rsid w:val="00BE340C"/>
    <w:pPr>
      <w:spacing w:before="100" w:beforeAutospacing="1" w:after="100" w:afterAutospacing="1"/>
    </w:pPr>
    <w:rPr>
      <w:rFonts w:eastAsia="Times New Roman"/>
      <w:lang w:val="en-US" w:eastAsia="en-US"/>
    </w:rPr>
  </w:style>
  <w:style w:type="character" w:styleId="FollowedHyperlink">
    <w:name w:val="FollowedHyperlink"/>
    <w:basedOn w:val="DefaultParagraphFont"/>
    <w:uiPriority w:val="99"/>
    <w:semiHidden/>
    <w:unhideWhenUsed/>
    <w:rsid w:val="008229D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38098">
      <w:bodyDiv w:val="1"/>
      <w:marLeft w:val="0"/>
      <w:marRight w:val="0"/>
      <w:marTop w:val="0"/>
      <w:marBottom w:val="0"/>
      <w:divBdr>
        <w:top w:val="none" w:sz="0" w:space="0" w:color="auto"/>
        <w:left w:val="none" w:sz="0" w:space="0" w:color="auto"/>
        <w:bottom w:val="none" w:sz="0" w:space="0" w:color="auto"/>
        <w:right w:val="none" w:sz="0" w:space="0" w:color="auto"/>
      </w:divBdr>
    </w:div>
    <w:div w:id="181821783">
      <w:bodyDiv w:val="1"/>
      <w:marLeft w:val="0"/>
      <w:marRight w:val="0"/>
      <w:marTop w:val="0"/>
      <w:marBottom w:val="0"/>
      <w:divBdr>
        <w:top w:val="none" w:sz="0" w:space="0" w:color="auto"/>
        <w:left w:val="none" w:sz="0" w:space="0" w:color="auto"/>
        <w:bottom w:val="none" w:sz="0" w:space="0" w:color="auto"/>
        <w:right w:val="none" w:sz="0" w:space="0" w:color="auto"/>
      </w:divBdr>
    </w:div>
    <w:div w:id="223570867">
      <w:bodyDiv w:val="1"/>
      <w:marLeft w:val="0"/>
      <w:marRight w:val="0"/>
      <w:marTop w:val="0"/>
      <w:marBottom w:val="0"/>
      <w:divBdr>
        <w:top w:val="none" w:sz="0" w:space="0" w:color="auto"/>
        <w:left w:val="none" w:sz="0" w:space="0" w:color="auto"/>
        <w:bottom w:val="none" w:sz="0" w:space="0" w:color="auto"/>
        <w:right w:val="none" w:sz="0" w:space="0" w:color="auto"/>
      </w:divBdr>
    </w:div>
    <w:div w:id="242186434">
      <w:bodyDiv w:val="1"/>
      <w:marLeft w:val="0"/>
      <w:marRight w:val="0"/>
      <w:marTop w:val="0"/>
      <w:marBottom w:val="0"/>
      <w:divBdr>
        <w:top w:val="none" w:sz="0" w:space="0" w:color="auto"/>
        <w:left w:val="none" w:sz="0" w:space="0" w:color="auto"/>
        <w:bottom w:val="none" w:sz="0" w:space="0" w:color="auto"/>
        <w:right w:val="none" w:sz="0" w:space="0" w:color="auto"/>
      </w:divBdr>
    </w:div>
    <w:div w:id="440297465">
      <w:bodyDiv w:val="1"/>
      <w:marLeft w:val="0"/>
      <w:marRight w:val="0"/>
      <w:marTop w:val="0"/>
      <w:marBottom w:val="0"/>
      <w:divBdr>
        <w:top w:val="none" w:sz="0" w:space="0" w:color="auto"/>
        <w:left w:val="none" w:sz="0" w:space="0" w:color="auto"/>
        <w:bottom w:val="none" w:sz="0" w:space="0" w:color="auto"/>
        <w:right w:val="none" w:sz="0" w:space="0" w:color="auto"/>
      </w:divBdr>
    </w:div>
    <w:div w:id="678119694">
      <w:bodyDiv w:val="1"/>
      <w:marLeft w:val="0"/>
      <w:marRight w:val="0"/>
      <w:marTop w:val="0"/>
      <w:marBottom w:val="0"/>
      <w:divBdr>
        <w:top w:val="none" w:sz="0" w:space="0" w:color="auto"/>
        <w:left w:val="none" w:sz="0" w:space="0" w:color="auto"/>
        <w:bottom w:val="none" w:sz="0" w:space="0" w:color="auto"/>
        <w:right w:val="none" w:sz="0" w:space="0" w:color="auto"/>
      </w:divBdr>
    </w:div>
    <w:div w:id="824777818">
      <w:bodyDiv w:val="1"/>
      <w:marLeft w:val="0"/>
      <w:marRight w:val="0"/>
      <w:marTop w:val="0"/>
      <w:marBottom w:val="0"/>
      <w:divBdr>
        <w:top w:val="none" w:sz="0" w:space="0" w:color="auto"/>
        <w:left w:val="none" w:sz="0" w:space="0" w:color="auto"/>
        <w:bottom w:val="none" w:sz="0" w:space="0" w:color="auto"/>
        <w:right w:val="none" w:sz="0" w:space="0" w:color="auto"/>
      </w:divBdr>
    </w:div>
    <w:div w:id="859198047">
      <w:bodyDiv w:val="1"/>
      <w:marLeft w:val="0"/>
      <w:marRight w:val="0"/>
      <w:marTop w:val="0"/>
      <w:marBottom w:val="0"/>
      <w:divBdr>
        <w:top w:val="none" w:sz="0" w:space="0" w:color="auto"/>
        <w:left w:val="none" w:sz="0" w:space="0" w:color="auto"/>
        <w:bottom w:val="none" w:sz="0" w:space="0" w:color="auto"/>
        <w:right w:val="none" w:sz="0" w:space="0" w:color="auto"/>
      </w:divBdr>
    </w:div>
    <w:div w:id="935670693">
      <w:bodyDiv w:val="1"/>
      <w:marLeft w:val="0"/>
      <w:marRight w:val="0"/>
      <w:marTop w:val="0"/>
      <w:marBottom w:val="0"/>
      <w:divBdr>
        <w:top w:val="none" w:sz="0" w:space="0" w:color="auto"/>
        <w:left w:val="none" w:sz="0" w:space="0" w:color="auto"/>
        <w:bottom w:val="none" w:sz="0" w:space="0" w:color="auto"/>
        <w:right w:val="none" w:sz="0" w:space="0" w:color="auto"/>
      </w:divBdr>
    </w:div>
    <w:div w:id="945963811">
      <w:bodyDiv w:val="1"/>
      <w:marLeft w:val="0"/>
      <w:marRight w:val="0"/>
      <w:marTop w:val="0"/>
      <w:marBottom w:val="0"/>
      <w:divBdr>
        <w:top w:val="none" w:sz="0" w:space="0" w:color="auto"/>
        <w:left w:val="none" w:sz="0" w:space="0" w:color="auto"/>
        <w:bottom w:val="none" w:sz="0" w:space="0" w:color="auto"/>
        <w:right w:val="none" w:sz="0" w:space="0" w:color="auto"/>
      </w:divBdr>
    </w:div>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373186279">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57439">
      <w:bodyDiv w:val="1"/>
      <w:marLeft w:val="0"/>
      <w:marRight w:val="0"/>
      <w:marTop w:val="0"/>
      <w:marBottom w:val="0"/>
      <w:divBdr>
        <w:top w:val="none" w:sz="0" w:space="0" w:color="auto"/>
        <w:left w:val="none" w:sz="0" w:space="0" w:color="auto"/>
        <w:bottom w:val="none" w:sz="0" w:space="0" w:color="auto"/>
        <w:right w:val="none" w:sz="0" w:space="0" w:color="auto"/>
      </w:divBdr>
    </w:div>
    <w:div w:id="202736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aliafatharani53@gmail.com" TargetMode="External"/><Relationship Id="rId13" Type="http://schemas.openxmlformats.org/officeDocument/2006/relationships/header" Target="header2.xml"/><Relationship Id="rId18" Type="http://schemas.openxmlformats.org/officeDocument/2006/relationships/image" Target="media/image5.jpe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4.emf"/><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10.jpeg"/><Relationship Id="rId28" Type="http://schemas.openxmlformats.org/officeDocument/2006/relationships/glossaryDocument" Target="glossary/document.xml"/><Relationship Id="rId10" Type="http://schemas.openxmlformats.org/officeDocument/2006/relationships/hyperlink" Target="mailto:ratnaummudzaky@gmail.com"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mailto:ratnaummudzaky@gmail.com" TargetMode="Externa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s://jurnal.akperalkautsar.ac.id/index.php/pengabdian"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jurnal.akperalkautsar.ac.id/index.php/pengabdia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414"/>
    <w:rsid w:val="00A32D04"/>
    <w:rsid w:val="00DF0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CD7444E23B40AF9D2EDD4E92933D1B">
    <w:name w:val="BBCD7444E23B40AF9D2EDD4E92933D1B"/>
    <w:rsid w:val="00DF04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26D0958-6263-44D2-810C-6AF404DC4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2246</TotalTime>
  <Pages>11</Pages>
  <Words>14428</Words>
  <Characters>82245</Characters>
  <Application>Microsoft Office Word</Application>
  <DocSecurity>0</DocSecurity>
  <Lines>685</Lines>
  <Paragraphs>192</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96481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Causal Productions</dc:creator>
  <cp:keywords/>
  <cp:lastModifiedBy>user</cp:lastModifiedBy>
  <cp:revision>197</cp:revision>
  <cp:lastPrinted>2017-04-18T03:46:00Z</cp:lastPrinted>
  <dcterms:created xsi:type="dcterms:W3CDTF">2013-02-05T02:20:00Z</dcterms:created>
  <dcterms:modified xsi:type="dcterms:W3CDTF">2026-02-22T04:45:00Z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http://www.zotero.org/styles/harvard1</vt:lpwstr>
  </property>
  <property fmtid="{D5CDD505-2E9C-101B-9397-08002B2CF9AE}" pid="17" name="Mendeley Recent Style Name 6_1">
    <vt:lpwstr>Harvard reference format 1 (deprecated)</vt:lpwstr>
  </property>
  <property fmtid="{D5CDD505-2E9C-101B-9397-08002B2CF9AE}" pid="18" name="Mendeley Recent Style Id 7_1">
    <vt:lpwstr>http://www.zotero.org/styles/ieee</vt:lpwstr>
  </property>
  <property fmtid="{D5CDD505-2E9C-101B-9397-08002B2CF9AE}" pid="19" name="Mendeley Recent Style Name 7_1">
    <vt:lpwstr>IEEE</vt:lpwstr>
  </property>
  <property fmtid="{D5CDD505-2E9C-101B-9397-08002B2CF9AE}" pid="20" name="Mendeley Recent Style Id 8_1">
    <vt:lpwstr>http://www.zotero.org/styles/modern-humanities-research-association</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4e0b9790-6daa-360b-b674-30de816e721d</vt:lpwstr>
  </property>
</Properties>
</file>